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DA49" w14:textId="77777777" w:rsidR="00071B44" w:rsidRDefault="00E31073">
      <w:pPr>
        <w:pStyle w:val="Textbody"/>
        <w:spacing w:after="0" w:line="210" w:lineRule="atLeast"/>
        <w:jc w:val="center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ANEXO I</w:t>
      </w:r>
    </w:p>
    <w:p w14:paraId="41B7EE59" w14:textId="77777777" w:rsidR="00071B44" w:rsidRDefault="00E31073">
      <w:pPr>
        <w:pStyle w:val="Textbody"/>
        <w:spacing w:after="0" w:line="360" w:lineRule="auto"/>
        <w:jc w:val="center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MODELO DE PROPOSTA TÉCNICA</w:t>
      </w:r>
    </w:p>
    <w:p w14:paraId="483F9F47" w14:textId="77777777" w:rsidR="00071B44" w:rsidRDefault="00E31073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1. Resultado gerado pela Entidade Fechada de Previdência Complementar.</w:t>
      </w:r>
    </w:p>
    <w:p w14:paraId="4BCE438E" w14:textId="77777777" w:rsidR="00071B44" w:rsidRDefault="00E31073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Rentabilidade Bruta Anual – </w:t>
      </w:r>
      <w:proofErr w:type="gramStart"/>
      <w:r>
        <w:rPr>
          <w:rFonts w:ascii="Arial" w:hAnsi="Arial"/>
          <w:color w:val="000000"/>
          <w:sz w:val="22"/>
          <w:szCs w:val="22"/>
          <w:shd w:val="clear" w:color="auto" w:fill="auto"/>
        </w:rPr>
        <w:t>RB</w:t>
      </w:r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(</w:t>
      </w:r>
      <w:proofErr w:type="gramEnd"/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exercício)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auferida no plano de benefícios da Entidade Fechada de Previdência Complementar.</w:t>
      </w:r>
    </w:p>
    <w:p w14:paraId="4302737B" w14:textId="77777777" w:rsidR="00071B44" w:rsidRDefault="00E31073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1.1.1.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 rentabilidade bruta anual será apresentada em sua forma decimal.</w:t>
      </w:r>
    </w:p>
    <w:p w14:paraId="501507CE" w14:textId="77777777" w:rsidR="00071B44" w:rsidRDefault="00E31073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1.1.2.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 criação da EFPC em período posterior ao exercício de 2016, e consequentemente, a indisponibilidade dos dados de rentabilidade, não impossibilita a participação no presente processo seletivo.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2"/>
        <w:gridCol w:w="7638"/>
      </w:tblGrid>
      <w:tr w:rsidR="00071B44" w14:paraId="1A74F456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1D946AC" w14:textId="77777777" w:rsidR="00071B44" w:rsidRDefault="00E31073">
            <w:pPr>
              <w:pStyle w:val="Contedodatabela"/>
              <w:spacing w:before="171" w:after="171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7791059" w14:textId="77777777" w:rsidR="00071B44" w:rsidRDefault="00E31073">
            <w:pPr>
              <w:pStyle w:val="Contedodatabela"/>
              <w:spacing w:before="114" w:after="114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Rentabilidade Bruta Anual – RB</w:t>
            </w:r>
          </w:p>
        </w:tc>
      </w:tr>
      <w:tr w:rsidR="00071B44" w14:paraId="6DC31C6C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E3E18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30D0B2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01741417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263A51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982298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8828A14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354ED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4DE62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C9C5F65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F81866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CF9EA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082DC1A0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049A48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F87E9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A393383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69D1A4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9C7B77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3F79F3AB" w14:textId="77777777" w:rsidR="00071B44" w:rsidRDefault="00071B44">
      <w:pPr>
        <w:spacing w:line="210" w:lineRule="atLeast"/>
        <w:rPr>
          <w:color w:val="000000"/>
          <w:sz w:val="22"/>
          <w:szCs w:val="22"/>
        </w:rPr>
      </w:pPr>
    </w:p>
    <w:p w14:paraId="4485C11C" w14:textId="77777777" w:rsidR="00071B44" w:rsidRDefault="00071B44">
      <w:pPr>
        <w:spacing w:line="210" w:lineRule="atLeast"/>
        <w:rPr>
          <w:color w:val="000000"/>
          <w:sz w:val="22"/>
          <w:szCs w:val="22"/>
        </w:rPr>
      </w:pPr>
    </w:p>
    <w:p w14:paraId="5A4E2EC7" w14:textId="77777777" w:rsidR="00071B44" w:rsidRDefault="00E31073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1.2.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Deverão ser deduzidas as despesas administrativas da Entidade Fechada de Previdência Complementar da Rentabilidade Líquida Anual – </w:t>
      </w:r>
      <w:proofErr w:type="gramStart"/>
      <w:r>
        <w:rPr>
          <w:rFonts w:ascii="Arial" w:hAnsi="Arial"/>
          <w:color w:val="000000"/>
          <w:sz w:val="22"/>
          <w:szCs w:val="22"/>
          <w:shd w:val="clear" w:color="auto" w:fill="auto"/>
        </w:rPr>
        <w:t>RL</w:t>
      </w:r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(</w:t>
      </w:r>
      <w:proofErr w:type="gramEnd"/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exercício)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 ser apresentada.</w:t>
      </w:r>
    </w:p>
    <w:p w14:paraId="04657FCF" w14:textId="77777777" w:rsidR="00071B44" w:rsidRDefault="00E31073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1.2.1.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 rentabilidade líquida anual será apresentada em sua forma decimal.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2"/>
        <w:gridCol w:w="7638"/>
      </w:tblGrid>
      <w:tr w:rsidR="00071B44" w14:paraId="34E4C690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4E4D0CF" w14:textId="77777777" w:rsidR="00071B44" w:rsidRDefault="00E31073">
            <w:pPr>
              <w:pStyle w:val="Contedodatabela"/>
              <w:spacing w:before="171" w:after="171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92B8046" w14:textId="77777777" w:rsidR="00071B44" w:rsidRDefault="00E31073">
            <w:pPr>
              <w:pStyle w:val="Contedodatabela"/>
              <w:spacing w:before="114" w:after="114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Rentabilidade Líquida Anual – RL</w:t>
            </w:r>
          </w:p>
        </w:tc>
      </w:tr>
      <w:tr w:rsidR="00071B44" w14:paraId="71387ABA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A24094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4456F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0D9BB8A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C935BF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1FA3C0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5EC4B5A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FC7F37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A931E7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5FA3B53B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138CC5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0C299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07AF6CC9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6C878E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991460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56B36150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ED208D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6B0A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3AA91CE5" w14:textId="77777777" w:rsidR="00071B44" w:rsidRDefault="00071B44">
      <w:pPr>
        <w:pStyle w:val="Textbody"/>
        <w:spacing w:after="0" w:line="360" w:lineRule="auto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04C64713" w14:textId="77777777" w:rsidR="00071B44" w:rsidRDefault="00E31073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1.3.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Caberá à</w:t>
      </w: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Entidade Fechada de Previdência Complementar a apresentação da Rentabilidade Real Anual – </w:t>
      </w:r>
      <w:proofErr w:type="gramStart"/>
      <w:r>
        <w:rPr>
          <w:rFonts w:ascii="Arial" w:hAnsi="Arial"/>
          <w:color w:val="000000"/>
          <w:sz w:val="22"/>
          <w:szCs w:val="22"/>
          <w:shd w:val="clear" w:color="auto" w:fill="auto"/>
        </w:rPr>
        <w:t>RR</w:t>
      </w:r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(</w:t>
      </w:r>
      <w:proofErr w:type="gramEnd"/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exercício)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, com base no Índice Nacional de Preços ao Consumidor Amplo (IPCA), relativo a cada exercício financeiro, que será calculada a partir da seguinte fórmula:</w:t>
      </w:r>
    </w:p>
    <w:p w14:paraId="45A15B20" w14:textId="77777777" w:rsidR="00071B44" w:rsidRDefault="00E31073">
      <w:pPr>
        <w:pStyle w:val="Contedodatabela"/>
        <w:spacing w:line="360" w:lineRule="auto"/>
      </w:pPr>
      <w:proofErr w:type="gramStart"/>
      <w:r>
        <w:rPr>
          <w:rFonts w:ascii="Arial" w:hAnsi="Arial"/>
          <w:i/>
          <w:iCs/>
          <w:color w:val="000000"/>
          <w:sz w:val="22"/>
          <w:szCs w:val="22"/>
        </w:rPr>
        <w:t>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</w:t>
      </w:r>
      <w:proofErr w:type="gramEnd"/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exercício)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= [(1 + RL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(exercício)</w:t>
      </w:r>
      <w:r>
        <w:rPr>
          <w:rFonts w:ascii="Arial" w:hAnsi="Arial"/>
          <w:i/>
          <w:iCs/>
          <w:color w:val="000000"/>
          <w:sz w:val="22"/>
          <w:szCs w:val="22"/>
        </w:rPr>
        <w:t>) / (1 + IPCA)] -1</w:t>
      </w:r>
    </w:p>
    <w:p w14:paraId="5A31AF71" w14:textId="77777777" w:rsidR="00071B44" w:rsidRDefault="00E31073">
      <w:pPr>
        <w:pStyle w:val="Contedodatabela"/>
        <w:spacing w:before="57" w:after="57" w:line="360" w:lineRule="auto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1.3.1. </w:t>
      </w:r>
      <w:r>
        <w:rPr>
          <w:rFonts w:ascii="Arial" w:hAnsi="Arial"/>
          <w:color w:val="000000"/>
          <w:sz w:val="22"/>
          <w:szCs w:val="22"/>
        </w:rPr>
        <w:t>O Índice Nacional de Preços ao Consumidor Amplo (IPCA) será utilizado em sua forma decimal.</w:t>
      </w:r>
    </w:p>
    <w:p w14:paraId="3F247391" w14:textId="77777777" w:rsidR="00071B44" w:rsidRDefault="00E31073">
      <w:pPr>
        <w:pStyle w:val="Contedodatabela"/>
        <w:spacing w:line="360" w:lineRule="auto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1.3.2. </w:t>
      </w:r>
      <w:r>
        <w:rPr>
          <w:rFonts w:ascii="Arial" w:hAnsi="Arial"/>
          <w:color w:val="000000"/>
          <w:sz w:val="22"/>
          <w:szCs w:val="22"/>
        </w:rPr>
        <w:t xml:space="preserve">A rentabilidade real anual será </w:t>
      </w:r>
      <w:proofErr w:type="gramStart"/>
      <w:r>
        <w:rPr>
          <w:rFonts w:ascii="Arial" w:hAnsi="Arial"/>
          <w:color w:val="000000"/>
          <w:sz w:val="22"/>
          <w:szCs w:val="22"/>
        </w:rPr>
        <w:t>apresentado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em sua forma decimal.</w:t>
      </w:r>
    </w:p>
    <w:p w14:paraId="747262A1" w14:textId="77777777" w:rsidR="00071B44" w:rsidRDefault="00E31073">
      <w:pPr>
        <w:pStyle w:val="Contedodatabela"/>
        <w:spacing w:before="57" w:after="57"/>
        <w:jc w:val="both"/>
      </w:pPr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>Considera-se: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i/>
          <w:iCs/>
          <w:color w:val="000000"/>
          <w:sz w:val="22"/>
          <w:szCs w:val="22"/>
        </w:rPr>
        <w:t>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</w:t>
      </w:r>
      <w:proofErr w:type="gramEnd"/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exercício)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= Rentabilidade Real Anual; RL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(Anual)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= Rentabilidade Líquida Anual; IPCA </w:t>
      </w:r>
      <w:r>
        <w:rPr>
          <w:rFonts w:ascii="Arial" w:hAnsi="Arial"/>
          <w:i/>
          <w:iCs/>
          <w:color w:val="000000"/>
          <w:sz w:val="22"/>
          <w:szCs w:val="22"/>
        </w:rPr>
        <w:lastRenderedPageBreak/>
        <w:t>= Índice Nacional de Preços ao Consumidor Amplo no exercício.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2"/>
        <w:gridCol w:w="7638"/>
      </w:tblGrid>
      <w:tr w:rsidR="00071B44" w14:paraId="4B08C850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33EBC56" w14:textId="77777777" w:rsidR="00071B44" w:rsidRDefault="00E31073">
            <w:pPr>
              <w:pStyle w:val="Contedodatabela"/>
              <w:spacing w:before="171" w:after="171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Exercício/Ano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8CC2733" w14:textId="77777777" w:rsidR="00071B44" w:rsidRDefault="00E31073">
            <w:pPr>
              <w:pStyle w:val="Contedodatabela"/>
              <w:spacing w:before="114" w:after="114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Rentabilidade Real Anual (RR)</w:t>
            </w:r>
          </w:p>
        </w:tc>
      </w:tr>
      <w:tr w:rsidR="00071B44" w14:paraId="64415E2D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97769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66C286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F97F236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C6D9D6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9FB96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79B6B92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40D83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F712DC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63CDF84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7AB54D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A2F15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21FF4E11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57AF35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E95F71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1004ECF0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6297C0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6475B9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2802658B" w14:textId="77777777" w:rsidR="00071B44" w:rsidRDefault="00071B44">
      <w:pPr>
        <w:widowControl w:val="0"/>
        <w:spacing w:line="360" w:lineRule="auto"/>
        <w:rPr>
          <w:rFonts w:ascii="Arial" w:hAnsi="Arial"/>
          <w:i/>
          <w:iCs/>
          <w:color w:val="000000"/>
          <w:sz w:val="22"/>
          <w:szCs w:val="22"/>
        </w:rPr>
      </w:pPr>
    </w:p>
    <w:p w14:paraId="7EFE3B5E" w14:textId="77777777" w:rsidR="00071B44" w:rsidRDefault="00E31073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1.4.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Para fins de cálculo da Rentabilidade Acumulada, utilizar-se-á as seguintes fórmulas:</w:t>
      </w:r>
    </w:p>
    <w:p w14:paraId="7A3875FD" w14:textId="77777777" w:rsidR="00071B44" w:rsidRDefault="00E31073">
      <w:pPr>
        <w:pStyle w:val="Contedodatabela"/>
        <w:spacing w:before="57" w:after="57"/>
      </w:pPr>
      <w:r>
        <w:rPr>
          <w:rFonts w:ascii="Arial" w:hAnsi="Arial"/>
          <w:i/>
          <w:iCs/>
          <w:color w:val="000000"/>
          <w:sz w:val="22"/>
          <w:szCs w:val="22"/>
        </w:rPr>
        <w:t>RA = [(1 + 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1º exercício</w:t>
      </w:r>
      <w:r>
        <w:rPr>
          <w:rFonts w:ascii="Arial" w:hAnsi="Arial"/>
          <w:i/>
          <w:iCs/>
          <w:color w:val="000000"/>
          <w:sz w:val="22"/>
          <w:szCs w:val="22"/>
        </w:rPr>
        <w:t>) x (1 + 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2º exercício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) x (…) (1 + </w:t>
      </w:r>
      <w:proofErr w:type="spellStart"/>
      <w:r>
        <w:rPr>
          <w:rFonts w:ascii="Arial" w:hAnsi="Arial"/>
          <w:i/>
          <w:iCs/>
          <w:color w:val="000000"/>
          <w:sz w:val="22"/>
          <w:szCs w:val="22"/>
        </w:rPr>
        <w:t>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último</w:t>
      </w:r>
      <w:proofErr w:type="spellEnd"/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 xml:space="preserve"> exercício</w:t>
      </w:r>
      <w:proofErr w:type="gramStart"/>
      <w:r>
        <w:rPr>
          <w:rFonts w:ascii="Arial" w:hAnsi="Arial"/>
          <w:i/>
          <w:iCs/>
          <w:color w:val="000000"/>
          <w:sz w:val="22"/>
          <w:szCs w:val="22"/>
        </w:rPr>
        <w:t>)]-</w:t>
      </w:r>
      <w:proofErr w:type="gramEnd"/>
      <w:r>
        <w:rPr>
          <w:rFonts w:ascii="Arial" w:hAnsi="Arial"/>
          <w:i/>
          <w:iCs/>
          <w:color w:val="000000"/>
          <w:sz w:val="22"/>
          <w:szCs w:val="22"/>
        </w:rPr>
        <w:t>1</w:t>
      </w:r>
    </w:p>
    <w:p w14:paraId="63135A07" w14:textId="77777777" w:rsidR="00071B44" w:rsidRDefault="00E31073">
      <w:pPr>
        <w:pStyle w:val="Contedodatabela"/>
        <w:spacing w:before="114" w:after="114" w:line="360" w:lineRule="auto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1.4.1. </w:t>
      </w:r>
      <w:r>
        <w:rPr>
          <w:rFonts w:ascii="Arial" w:hAnsi="Arial"/>
          <w:color w:val="000000"/>
          <w:sz w:val="22"/>
          <w:szCs w:val="22"/>
        </w:rPr>
        <w:t xml:space="preserve">A rentabilidade acumulada será </w:t>
      </w:r>
      <w:proofErr w:type="gramStart"/>
      <w:r>
        <w:rPr>
          <w:rFonts w:ascii="Arial" w:hAnsi="Arial"/>
          <w:color w:val="000000"/>
          <w:sz w:val="22"/>
          <w:szCs w:val="22"/>
        </w:rPr>
        <w:t>apresentado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em sua forma decimal.</w:t>
      </w:r>
    </w:p>
    <w:p w14:paraId="7871A6C4" w14:textId="77777777" w:rsidR="00071B44" w:rsidRDefault="00E31073">
      <w:pPr>
        <w:pStyle w:val="Contedodatabela"/>
        <w:spacing w:before="57" w:after="57"/>
        <w:jc w:val="both"/>
      </w:pP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Considera-se: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RA = Rentabilidade Acumulada; </w:t>
      </w:r>
      <w:proofErr w:type="gramStart"/>
      <w:r>
        <w:rPr>
          <w:rFonts w:ascii="Arial" w:hAnsi="Arial"/>
          <w:i/>
          <w:iCs/>
          <w:color w:val="000000"/>
          <w:sz w:val="22"/>
          <w:szCs w:val="22"/>
        </w:rPr>
        <w:t>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</w:t>
      </w:r>
      <w:proofErr w:type="gramEnd"/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exercício)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= Rentabilidade Real Anual.</w:t>
      </w:r>
    </w:p>
    <w:tbl>
      <w:tblPr>
        <w:tblW w:w="9840" w:type="dxa"/>
        <w:tblInd w:w="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071B44" w14:paraId="1472F6FB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B17A072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Rentabilidade Acumulada (RA)</w:t>
            </w:r>
          </w:p>
        </w:tc>
      </w:tr>
      <w:tr w:rsidR="00071B44" w14:paraId="6BCF7F55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79AC30" w14:textId="77777777" w:rsidR="00071B44" w:rsidRDefault="00071B44">
            <w:pPr>
              <w:pStyle w:val="Contedodatabela"/>
              <w:spacing w:line="210" w:lineRule="atLeast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254CE2D" w14:textId="77777777" w:rsidR="00071B44" w:rsidRDefault="00071B44">
      <w:pPr>
        <w:pStyle w:val="Contedodatabela"/>
        <w:spacing w:before="57" w:after="57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5A765635" w14:textId="77777777" w:rsidR="00071B44" w:rsidRDefault="00E31073">
      <w:pPr>
        <w:pStyle w:val="Contedodatabela"/>
        <w:spacing w:before="57" w:after="57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1.5. </w:t>
      </w:r>
      <w:r>
        <w:rPr>
          <w:rFonts w:ascii="Arial" w:hAnsi="Arial"/>
          <w:color w:val="000000"/>
          <w:sz w:val="22"/>
          <w:szCs w:val="22"/>
        </w:rPr>
        <w:t>Para fins de cálculo da Média da Rentabilidade Real – MRR, utilizar-se-á a seguinte fórmula:</w:t>
      </w:r>
    </w:p>
    <w:p w14:paraId="08D6227F" w14:textId="77777777" w:rsidR="00071B44" w:rsidRDefault="00E31073">
      <w:pPr>
        <w:pStyle w:val="Contedodatabela"/>
        <w:spacing w:before="57" w:after="57"/>
      </w:pPr>
      <w:r>
        <w:rPr>
          <w:rFonts w:ascii="Arial" w:hAnsi="Arial"/>
          <w:i/>
          <w:iCs/>
          <w:color w:val="000000"/>
          <w:sz w:val="22"/>
          <w:szCs w:val="22"/>
        </w:rPr>
        <w:t>MRR = RA / n</w:t>
      </w:r>
    </w:p>
    <w:p w14:paraId="19F6238D" w14:textId="77777777" w:rsidR="00071B44" w:rsidRDefault="00E31073">
      <w:pPr>
        <w:pStyle w:val="Contedodatabela"/>
        <w:spacing w:before="171" w:after="171" w:line="360" w:lineRule="auto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1.5.1. </w:t>
      </w:r>
      <w:r>
        <w:rPr>
          <w:rFonts w:ascii="Arial" w:hAnsi="Arial"/>
          <w:color w:val="000000"/>
          <w:sz w:val="22"/>
          <w:szCs w:val="22"/>
        </w:rPr>
        <w:t>A média da rentabilidade real será apresentada em sua forma decimal.</w:t>
      </w:r>
    </w:p>
    <w:p w14:paraId="12BEA1A8" w14:textId="77777777" w:rsidR="00071B44" w:rsidRDefault="00E31073">
      <w:pPr>
        <w:pStyle w:val="Contedodatabela"/>
        <w:spacing w:before="57" w:after="57"/>
        <w:jc w:val="both"/>
      </w:pP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Considera-se: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/>
          <w:i/>
          <w:iCs/>
          <w:color w:val="000000"/>
          <w:sz w:val="20"/>
          <w:szCs w:val="20"/>
        </w:rPr>
        <w:t>MRR</w:t>
      </w:r>
      <w:r>
        <w:rPr>
          <w:rFonts w:ascii="Arial" w:hAnsi="Arial"/>
          <w:i/>
          <w:iCs/>
          <w:color w:val="000000"/>
          <w:sz w:val="20"/>
          <w:szCs w:val="20"/>
          <w:vertAlign w:val="subscript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=</w:t>
      </w:r>
      <w:proofErr w:type="gramEnd"/>
      <w:r>
        <w:rPr>
          <w:rFonts w:ascii="Arial" w:hAnsi="Arial"/>
          <w:i/>
          <w:iCs/>
          <w:color w:val="000000"/>
          <w:sz w:val="20"/>
          <w:szCs w:val="20"/>
        </w:rPr>
        <w:t xml:space="preserve"> média da rentabilidade real; n = número de exercícios apresentados; RA = rentabilidade acumulada.</w:t>
      </w:r>
    </w:p>
    <w:tbl>
      <w:tblPr>
        <w:tblW w:w="9840" w:type="dxa"/>
        <w:tblInd w:w="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071B44" w14:paraId="2AB79562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64C5DCF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Média da Rentabilidade Real (MRR)</w:t>
            </w:r>
          </w:p>
        </w:tc>
      </w:tr>
      <w:tr w:rsidR="00071B44" w14:paraId="460FDFF3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EA9981" w14:textId="77777777" w:rsidR="00071B44" w:rsidRDefault="00071B44">
            <w:pPr>
              <w:pStyle w:val="Contedodatabela"/>
              <w:spacing w:line="210" w:lineRule="atLeast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A0F514E" w14:textId="77777777" w:rsidR="00071B44" w:rsidRDefault="00071B44">
      <w:pPr>
        <w:widowControl w:val="0"/>
        <w:spacing w:before="57" w:after="57" w:line="210" w:lineRule="atLeast"/>
        <w:jc w:val="both"/>
        <w:rPr>
          <w:color w:val="000000"/>
          <w:sz w:val="22"/>
          <w:szCs w:val="22"/>
        </w:rPr>
      </w:pPr>
    </w:p>
    <w:p w14:paraId="68AF09FB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2. Ativo total sob gestão da Entidade Fechada de Previdência Complementar no encerramento do exercício de 2021.</w:t>
      </w:r>
    </w:p>
    <w:p w14:paraId="1E1ECA90" w14:textId="77777777" w:rsidR="00071B44" w:rsidRDefault="00E31073">
      <w:pPr>
        <w:pStyle w:val="Contedodatabela"/>
        <w:widowControl/>
        <w:spacing w:line="210" w:lineRule="atLeast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2.1. </w:t>
      </w:r>
      <w:r>
        <w:rPr>
          <w:rFonts w:ascii="Arial" w:hAnsi="Arial"/>
          <w:color w:val="000000"/>
          <w:sz w:val="22"/>
          <w:szCs w:val="22"/>
        </w:rPr>
        <w:t>Quadro relativo ao valor do ativo total sob gestão na data estabelecida.</w:t>
      </w:r>
    </w:p>
    <w:tbl>
      <w:tblPr>
        <w:tblW w:w="9840" w:type="dxa"/>
        <w:tblInd w:w="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071B44" w14:paraId="249CDA60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E4DAAC4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Ativo total sob gestão em 31/12/2021</w:t>
            </w:r>
          </w:p>
        </w:tc>
      </w:tr>
      <w:tr w:rsidR="00071B44" w14:paraId="2EB56F2F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25F0E" w14:textId="77777777" w:rsidR="00071B44" w:rsidRDefault="00071B44">
            <w:pPr>
              <w:pStyle w:val="Contedodatabela"/>
              <w:spacing w:line="210" w:lineRule="atLeast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177226A" w14:textId="77777777" w:rsidR="00071B44" w:rsidRDefault="00071B44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526FE2CC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3. Número de participantes </w:t>
      </w: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dos planos de benefícios da Entidade Fechada de Previdência Complementar.</w:t>
      </w:r>
    </w:p>
    <w:p w14:paraId="295C7EFC" w14:textId="77777777" w:rsidR="00071B44" w:rsidRDefault="00E31073">
      <w:pPr>
        <w:pStyle w:val="Contedodatabela"/>
        <w:widowControl/>
        <w:spacing w:line="210" w:lineRule="atLeast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3.1. </w:t>
      </w:r>
      <w:r>
        <w:rPr>
          <w:rFonts w:ascii="Arial" w:hAnsi="Arial"/>
          <w:color w:val="000000"/>
          <w:sz w:val="22"/>
          <w:szCs w:val="22"/>
        </w:rPr>
        <w:t>Quantitativo total de participantes dos planos de benefícios da Entidade Fechada de Previdência Complementar em 31 de dezembro de 2021.</w:t>
      </w:r>
    </w:p>
    <w:tbl>
      <w:tblPr>
        <w:tblW w:w="9840" w:type="dxa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071B44" w14:paraId="3FCE740C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C804470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Quantitativo total de participantes</w:t>
            </w:r>
          </w:p>
        </w:tc>
      </w:tr>
      <w:tr w:rsidR="00071B44" w14:paraId="2ED020CB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46D7C2" w14:textId="77777777" w:rsidR="00071B44" w:rsidRDefault="00071B44">
            <w:pPr>
              <w:pStyle w:val="Contedodatabela"/>
              <w:spacing w:line="210" w:lineRule="atLeast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186D435" w14:textId="77777777" w:rsidR="00071B44" w:rsidRDefault="00071B44">
      <w:pPr>
        <w:pStyle w:val="Contedodatabela"/>
        <w:spacing w:line="210" w:lineRule="atLeast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2C879B2B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4. Gestão Administrativa, gerenciamento dos Riscos e Governança </w:t>
      </w: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da Entidade Fechada de Previdência Complementar.</w:t>
      </w:r>
    </w:p>
    <w:p w14:paraId="69589703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4.1.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Estrutura e mecanismos da Entidade Fechada de Previdência Complementar.</w:t>
      </w:r>
    </w:p>
    <w:p w14:paraId="06A643FE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4.2.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 comprovação será realizada mediante apresentação dos regulamentos e atos internos que instituem os processos e órgãos no âmbito da Entidade Fechada de Previdência Complementar.</w:t>
      </w:r>
    </w:p>
    <w:p w14:paraId="338B26AA" w14:textId="77777777" w:rsidR="00071B44" w:rsidRDefault="00071B44">
      <w:pPr>
        <w:pStyle w:val="Textbody"/>
        <w:spacing w:after="0" w:line="210" w:lineRule="atLeast"/>
        <w:rPr>
          <w:b/>
          <w:bCs/>
          <w:color w:val="000000"/>
          <w:shd w:val="clear" w:color="auto" w:fill="auto"/>
        </w:rPr>
      </w:pP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7"/>
        <w:gridCol w:w="4323"/>
      </w:tblGrid>
      <w:tr w:rsidR="00071B44" w14:paraId="1D709198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C5714DB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Processos e Órgãos Internos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3C8123E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Existência (Sim ou Não)</w:t>
            </w:r>
          </w:p>
        </w:tc>
      </w:tr>
      <w:tr w:rsidR="00071B44" w14:paraId="11C7FD8F" w14:textId="77777777">
        <w:trPr>
          <w:trHeight w:hRule="exact" w:val="284"/>
        </w:trPr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8E291F" w14:textId="77777777" w:rsidR="00071B44" w:rsidRDefault="00E31073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Conselho Deliberativo (Obrigatório)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46E1" w14:textId="77777777" w:rsidR="00071B44" w:rsidRDefault="00071B44">
            <w:pPr>
              <w:widowControl w:val="0"/>
              <w:rPr>
                <w:color w:val="000000"/>
              </w:rPr>
            </w:pPr>
          </w:p>
        </w:tc>
      </w:tr>
      <w:tr w:rsidR="00071B44" w14:paraId="6B216073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571CEF" w14:textId="77777777" w:rsidR="00071B44" w:rsidRDefault="00E31073">
            <w:pPr>
              <w:pStyle w:val="Contedodatabela"/>
              <w:spacing w:line="210" w:lineRule="atLeast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Conselho Fiscal (Obrigatório)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DC953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75C15C0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7DF9CF" w14:textId="77777777" w:rsidR="00071B44" w:rsidRDefault="00E31073">
            <w:pPr>
              <w:pStyle w:val="Contedodatabela"/>
              <w:spacing w:line="210" w:lineRule="atLeast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Diretoria-executiva (Obrigatório)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578E7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40DEA5A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BB4CCE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Controle de riscos por meio do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Value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at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Risk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7E3D9A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C25ED48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45B62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Comitê de Investimento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928C88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1B183606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0CE5FC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Gestão de Ativos e Passivos (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Asset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Liability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Management – ALM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ADB8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ADD5747" w14:textId="77777777" w:rsidR="00071B44" w:rsidRDefault="00071B44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686A0320" w14:textId="77777777" w:rsidR="00071B44" w:rsidRDefault="00071B44">
      <w:pPr>
        <w:pStyle w:val="Textbody"/>
        <w:spacing w:after="0" w:line="210" w:lineRule="atLeast"/>
        <w:rPr>
          <w:rFonts w:ascii="Arial" w:hAnsi="Arial"/>
          <w:color w:val="000000"/>
          <w:sz w:val="22"/>
          <w:szCs w:val="22"/>
          <w:shd w:val="clear" w:color="auto" w:fill="auto"/>
        </w:rPr>
      </w:pPr>
    </w:p>
    <w:p w14:paraId="4606D5A4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5. Controle Interno da Entidade Fechada de Previdência Complementar.</w:t>
      </w:r>
    </w:p>
    <w:p w14:paraId="0F3EC774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5.1.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Estrutura de controle interno da Entidade Fechada de Previdência Complementar.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7"/>
        <w:gridCol w:w="4323"/>
      </w:tblGrid>
      <w:tr w:rsidR="00071B44" w14:paraId="2722B8D6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6765C91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Controle Interno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5CA260E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Quantitativo</w:t>
            </w:r>
          </w:p>
        </w:tc>
      </w:tr>
      <w:tr w:rsidR="00071B44" w14:paraId="7BB95267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19A3BC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Quantitativo de responsáveis pelo Controle Interno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AB53C4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F9B2F35" w14:textId="77777777" w:rsidR="00071B44" w:rsidRDefault="00071B44">
      <w:pPr>
        <w:rPr>
          <w:rFonts w:ascii="Arial" w:hAnsi="Arial"/>
          <w:color w:val="000000"/>
          <w:sz w:val="22"/>
          <w:szCs w:val="22"/>
        </w:rPr>
      </w:pPr>
    </w:p>
    <w:p w14:paraId="4F6ECC69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6. Qualificação técnica, profissional e experiência</w:t>
      </w:r>
    </w:p>
    <w:p w14:paraId="68A4AEE9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6.1.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As certificações profissionais serão comprovadas a partir da apresentação dos certificados ou diplomas emitidos pelas entidades responsáveis.</w:t>
      </w:r>
    </w:p>
    <w:p w14:paraId="10D70786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6.2.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Somente será aceita 1 (uma) certificação por profissional.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7"/>
        <w:gridCol w:w="3625"/>
        <w:gridCol w:w="1418"/>
      </w:tblGrid>
      <w:tr w:rsidR="00071B44" w14:paraId="0D711424" w14:textId="77777777">
        <w:trPr>
          <w:trHeight w:val="284"/>
        </w:trPr>
        <w:tc>
          <w:tcPr>
            <w:tcW w:w="4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4486238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Cargo/Função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7ECBD36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Certificação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023834E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Quantitativo</w:t>
            </w:r>
          </w:p>
        </w:tc>
      </w:tr>
      <w:tr w:rsidR="00071B44" w14:paraId="10D71D3C" w14:textId="77777777">
        <w:tc>
          <w:tcPr>
            <w:tcW w:w="4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1E6386" w14:textId="77777777" w:rsidR="00071B44" w:rsidRDefault="00E31073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Administrador estatutário tecnicamente qualificado, diretor de investimentos, membros dos comitês de assessoramento que atuem diretamente com investimentos e demais responsáveis pela aplicação de recursos.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DCD93C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(CPA-20)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68633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42AF68E7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893DF2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1A3AC3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(CEA)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4D407B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282DA888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5844ED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591E39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(CGA)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E960A7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0E5870B3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A73648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DA4FEE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ANCORD (AAI)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394D55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2952F3F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E84D0E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E1091B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(CNPI)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275283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22750E37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4284E9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F1D6C0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(CNPI-P)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C88A79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DC29971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AF07AD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C684C9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(CGRPF-I)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E1067B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019B5641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854828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2E2B02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ICSS (Profissional de Investimentos)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34A498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DD0259F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48B8D4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E78637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FGV (Previdência Complementar)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14D22F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30F43C3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4028B7" w14:textId="77777777" w:rsidR="00071B44" w:rsidRDefault="00071B44">
            <w:pPr>
              <w:widowControl w:val="0"/>
              <w:rPr>
                <w:color w:val="000000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66DA4E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PLANEJAR (CFP)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D1DCC5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411E6F7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A773A5" w14:textId="77777777" w:rsidR="00071B44" w:rsidRDefault="00071B44">
            <w:pPr>
              <w:widowControl w:val="0"/>
              <w:rPr>
                <w:color w:val="000000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0C58AF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CFASB (CFA)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B2FFF3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4C704153" w14:textId="77777777">
        <w:tc>
          <w:tcPr>
            <w:tcW w:w="4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D67BD4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Demais membros da diretoria-executiva, membro do conselho deliberativo e membro do conselho fiscal.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5955A5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(CPA-20)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378EDA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22018603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6D802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1989D0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(CEA)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C8B62D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4C0A699F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7ED444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A210DE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(CGA)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6DD828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831A89C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82D29A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D62F9F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ANCORD (AAI)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ED99C9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8A8FA1C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1E346C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E0592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(CNPI)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8B948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C22A312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90073A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71E3B6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(CNPI-P)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3973F8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0E7E095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D6D4CC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AE83E1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(CGRPF-I)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62C8D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7A01010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9F9948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8413D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(CGRPF-A)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7B9214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361AA6A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9506F7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8DA57" w14:textId="42CAFF95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ICSS (Profissional de Investimentos</w:t>
            </w:r>
            <w:r w:rsidR="00AF5D41">
              <w:rPr>
                <w:rFonts w:ascii="Arial" w:hAnsi="Arial"/>
                <w:color w:val="000000"/>
                <w:sz w:val="18"/>
                <w:szCs w:val="18"/>
              </w:rPr>
              <w:t xml:space="preserve"> e Administradores em Geral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1D26AD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951CB98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D3902E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4F0F3A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FGV (Previdência Complementar)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07E7BA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1E38CFB4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C7E54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873CF2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IBGC (Conselheiros)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3A075B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539A54E0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4F53A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C05476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PLANEJAR (CFP)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751B05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54A13E70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B6E8D8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F8DA6" w14:textId="77777777" w:rsidR="00071B44" w:rsidRDefault="00E31073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CFASB (CFA)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B9D15A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48E5393C" w14:textId="77777777" w:rsidR="00071B44" w:rsidRDefault="00071B44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1CD197E1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6.3.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A comprovação da qualificação e experiência da diretoria executiva se dará através de documentos oficiais, </w:t>
      </w:r>
      <w:proofErr w:type="spellStart"/>
      <w:r>
        <w:rPr>
          <w:rFonts w:ascii="Arial" w:hAnsi="Arial"/>
          <w:color w:val="000000"/>
          <w:sz w:val="22"/>
          <w:szCs w:val="22"/>
          <w:shd w:val="clear" w:color="auto" w:fill="auto"/>
        </w:rPr>
        <w:t>minicurrículos</w:t>
      </w:r>
      <w:proofErr w:type="spellEnd"/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e diplomas.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2640"/>
        <w:gridCol w:w="2400"/>
        <w:gridCol w:w="2640"/>
        <w:gridCol w:w="1440"/>
      </w:tblGrid>
      <w:tr w:rsidR="00071B44" w14:paraId="5165CB55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FBC477D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50F5B74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9345134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Cargo Função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71BE620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Tempo de Experiência em Previdência Complementar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4580FDF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Grau de Escolaridade</w:t>
            </w:r>
          </w:p>
        </w:tc>
      </w:tr>
      <w:tr w:rsidR="00071B44" w14:paraId="017B2491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6563E" w14:textId="77777777" w:rsidR="00071B44" w:rsidRDefault="00E31073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97649C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FB979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F2D99E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33593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24D4450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36922F" w14:textId="77777777" w:rsidR="00071B44" w:rsidRDefault="00E31073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93082B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AD18A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96F5D6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61FDAA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0A116A78" w14:textId="77777777">
        <w:trPr>
          <w:trHeight w:val="18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429DF0" w14:textId="77777777" w:rsidR="00071B44" w:rsidRDefault="00E31073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1B0D1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D91758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616781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CA638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57612354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2E32F1" w14:textId="77777777" w:rsidR="00071B44" w:rsidRDefault="00E31073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652DFA" w14:textId="77777777" w:rsidR="00071B44" w:rsidRDefault="00071B44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A1B546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B41605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BDA49F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449536DD" w14:textId="77777777" w:rsidR="00071B44" w:rsidRDefault="00071B44">
      <w:pPr>
        <w:rPr>
          <w:rFonts w:ascii="Arial" w:hAnsi="Arial"/>
          <w:color w:val="000000"/>
          <w:sz w:val="22"/>
          <w:szCs w:val="22"/>
        </w:rPr>
      </w:pPr>
    </w:p>
    <w:p w14:paraId="2B66A4F6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6.3.1.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Quadro de referência para preenchimento do item 6.3 do modelo de proposta técnica.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071B44" w14:paraId="128BF25A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BD341B1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Tempo Experiência em Previdência Complementar</w:t>
            </w:r>
          </w:p>
        </w:tc>
      </w:tr>
      <w:tr w:rsidR="00071B44" w14:paraId="49E251E2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DD3260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(Individualmente expresso em anos, meses e dias)</w:t>
            </w:r>
          </w:p>
        </w:tc>
      </w:tr>
      <w:tr w:rsidR="00071B44" w14:paraId="737E4FF3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A6C301C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Grau de Escolaridade</w:t>
            </w:r>
          </w:p>
        </w:tc>
      </w:tr>
      <w:tr w:rsidR="00071B44" w14:paraId="3133EAAC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CE1CCE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Ensino Superior Completo</w:t>
            </w:r>
          </w:p>
        </w:tc>
      </w:tr>
      <w:tr w:rsidR="00071B44" w14:paraId="3B7AE8F6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BE882D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Especialização</w:t>
            </w:r>
          </w:p>
        </w:tc>
      </w:tr>
      <w:tr w:rsidR="00071B44" w14:paraId="6316E874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47EB33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Mestrado</w:t>
            </w:r>
          </w:p>
        </w:tc>
      </w:tr>
      <w:tr w:rsidR="00071B44" w14:paraId="4410D95E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E09DC2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Doutorado</w:t>
            </w:r>
          </w:p>
        </w:tc>
      </w:tr>
    </w:tbl>
    <w:p w14:paraId="556FC656" w14:textId="77777777" w:rsidR="00071B44" w:rsidRDefault="00071B44">
      <w:pPr>
        <w:rPr>
          <w:rFonts w:ascii="Arial" w:hAnsi="Arial"/>
          <w:color w:val="000000"/>
          <w:sz w:val="22"/>
          <w:szCs w:val="22"/>
        </w:rPr>
      </w:pPr>
    </w:p>
    <w:p w14:paraId="3C18B8B8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7. Taxa de Administração e Carregamento</w:t>
      </w:r>
    </w:p>
    <w:p w14:paraId="1B733EC4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7.1.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Informar a forma de custeio para a administração do plano por meio de taxas de administração e de carregamento, cobradas dos participantes sobre as contribuições e/ou saldo de conta. Os valores apresentados nesta proposta devem ser expressos em percentual ao ano, com duas casas decimais.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0"/>
        <w:gridCol w:w="5010"/>
      </w:tblGrid>
      <w:tr w:rsidR="00071B44" w14:paraId="38C68B00" w14:textId="77777777"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F3BA977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Taxa de Administração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EE0FFEB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Taxa de Custeio</w:t>
            </w:r>
          </w:p>
        </w:tc>
      </w:tr>
      <w:tr w:rsidR="00071B44" w14:paraId="2966A123" w14:textId="77777777"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CF546B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66969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14073D6" w14:textId="77777777" w:rsidR="00071B44" w:rsidRDefault="00071B44">
      <w:pPr>
        <w:spacing w:line="210" w:lineRule="atLeast"/>
        <w:rPr>
          <w:rFonts w:ascii="Arial" w:hAnsi="Arial"/>
          <w:color w:val="000000"/>
          <w:sz w:val="22"/>
          <w:szCs w:val="22"/>
        </w:rPr>
      </w:pPr>
    </w:p>
    <w:p w14:paraId="00A8B475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8. Tempo de existência.</w:t>
      </w:r>
    </w:p>
    <w:p w14:paraId="631FAC91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8.1.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Tempo de existência da Entidade Fechada de Previdência Complementar, em anos.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071B44" w14:paraId="2440010C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12C1C21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Tempo de existência</w:t>
            </w:r>
          </w:p>
        </w:tc>
      </w:tr>
      <w:tr w:rsidR="00071B44" w14:paraId="0D0686E2" w14:textId="77777777">
        <w:trPr>
          <w:trHeight w:val="143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74E1C8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4E713BAE" w14:textId="77777777" w:rsidR="00071B44" w:rsidRDefault="00071B44">
      <w:pPr>
        <w:spacing w:line="210" w:lineRule="atLeast"/>
        <w:rPr>
          <w:rFonts w:ascii="Arial" w:hAnsi="Arial"/>
          <w:color w:val="000000"/>
          <w:sz w:val="22"/>
          <w:szCs w:val="22"/>
        </w:rPr>
      </w:pPr>
    </w:p>
    <w:p w14:paraId="690B6929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9. Transparência da Entidade Fechada de Previdência Complementar.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99"/>
        <w:gridCol w:w="2641"/>
      </w:tblGrid>
      <w:tr w:rsidR="00071B44" w14:paraId="7F320356" w14:textId="77777777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5CE39C2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Transparência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38ACEF3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Divulga (Sim ou Não)</w:t>
            </w:r>
          </w:p>
        </w:tc>
      </w:tr>
      <w:tr w:rsidR="00071B44" w14:paraId="7AAFB048" w14:textId="77777777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6E9E3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Relatório Anual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3775D1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2B2654D5" w14:textId="77777777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0AC6CC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Política de Investimentos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7957B3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49E4629" w14:textId="77777777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912AF2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Demonstrações Contábeis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96F43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5D3231E3" w14:textId="77777777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F69797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Parecer da Avaliação Atuarial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227011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57D1BEFF" w14:textId="77777777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0B917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Atas dos Conselhos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B98936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A3BEB00" w14:textId="77777777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99296F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Remuneração da diretoria e conselheiros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D75746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228F96A8" w14:textId="77777777" w:rsidR="00071B44" w:rsidRDefault="00071B44">
      <w:pPr>
        <w:pStyle w:val="Textbody"/>
        <w:spacing w:after="0" w:line="210" w:lineRule="atLeast"/>
        <w:rPr>
          <w:color w:val="000000"/>
          <w:shd w:val="clear" w:color="auto" w:fill="auto"/>
        </w:rPr>
      </w:pPr>
    </w:p>
    <w:p w14:paraId="79937B47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10. Aporte inicial</w:t>
      </w:r>
    </w:p>
    <w:p w14:paraId="29ED413D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color w:val="000000"/>
          <w:sz w:val="22"/>
          <w:szCs w:val="22"/>
          <w:shd w:val="clear" w:color="auto" w:fill="auto"/>
        </w:rPr>
        <w:t>10.1. Informar a necessidade e a forma de eventual pagamento de aporte inicial pelo Patrocinador: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071B44" w14:paraId="4787B1BE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DEC911D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Aporte inicial</w:t>
            </w:r>
          </w:p>
        </w:tc>
      </w:tr>
      <w:tr w:rsidR="00071B44" w14:paraId="028AE7D7" w14:textId="77777777">
        <w:trPr>
          <w:trHeight w:val="143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BAA64F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25ECCCFE" w14:textId="77777777" w:rsidR="00071B44" w:rsidRDefault="00071B44">
      <w:pPr>
        <w:pStyle w:val="Textbody"/>
        <w:spacing w:after="0"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0880F45C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 política de investimento do plano autorizado e aprovado pela PREVIC.</w:t>
      </w:r>
    </w:p>
    <w:p w14:paraId="562B2DDC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11.1.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Informar a existência e o quantitativo de perfis de investimento da Entidade Fechada de Previdência Complementar.</w:t>
      </w: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071B44" w14:paraId="642ABE8B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18B32DA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Quantitativo de perfis de investimento</w:t>
            </w:r>
          </w:p>
        </w:tc>
      </w:tr>
      <w:tr w:rsidR="00071B44" w14:paraId="6E383F4E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DCC32B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7EE188BF" w14:textId="77777777" w:rsidR="00071B44" w:rsidRDefault="00071B44">
      <w:pPr>
        <w:spacing w:line="210" w:lineRule="atLeast"/>
        <w:rPr>
          <w:color w:val="000000"/>
        </w:rPr>
      </w:pPr>
    </w:p>
    <w:p w14:paraId="2D47F981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12.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Modelagem do plano autorizado e aprovado pela PREVIC para entes federativos e benefícios de riscos.</w:t>
      </w:r>
    </w:p>
    <w:p w14:paraId="3D3B95EA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12.1.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As informações relativas à modelagem do plano autorizado e aprovado pela PREVIC poderão ser apresentadas na forma de anexo ou descritas no quadro</w:t>
      </w:r>
    </w:p>
    <w:p w14:paraId="31F319DC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12.2.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O regulamento do plano de benefícios autorizado e aprovado pela PREVIC será apresentado na forma de anexo.</w:t>
      </w: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071B44" w14:paraId="1EBE68CF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633DD52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Informações acerca da modelagem do plano autorizado e aprovado pela PREVIC</w:t>
            </w:r>
          </w:p>
        </w:tc>
      </w:tr>
      <w:tr w:rsidR="00071B44" w14:paraId="791913A3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C794C2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8A29BDC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1422868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214DD5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57B6DD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312C19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875699D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B617E28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631A15E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9086F02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3979417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521359E3" w14:textId="77777777" w:rsidR="00071B44" w:rsidRDefault="00071B44">
      <w:pPr>
        <w:spacing w:line="210" w:lineRule="atLeast"/>
        <w:rPr>
          <w:color w:val="000000"/>
        </w:rPr>
      </w:pPr>
    </w:p>
    <w:p w14:paraId="4B6C351A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13.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Plano de custeio do plano de benefícios </w:t>
      </w:r>
      <w:proofErr w:type="spellStart"/>
      <w:r>
        <w:rPr>
          <w:rFonts w:ascii="Arial" w:hAnsi="Arial"/>
          <w:color w:val="000000"/>
          <w:sz w:val="22"/>
          <w:szCs w:val="22"/>
          <w:shd w:val="clear" w:color="auto" w:fill="auto"/>
        </w:rPr>
        <w:t>multipatrocinado</w:t>
      </w:r>
      <w:proofErr w:type="spellEnd"/>
      <w:r>
        <w:rPr>
          <w:rFonts w:ascii="Arial" w:hAnsi="Arial"/>
          <w:color w:val="000000"/>
          <w:sz w:val="22"/>
          <w:szCs w:val="22"/>
          <w:shd w:val="clear" w:color="auto" w:fill="auto"/>
        </w:rPr>
        <w:t>, autorizado e aprovado pela PREVIC para entes federativos.</w:t>
      </w:r>
    </w:p>
    <w:p w14:paraId="113E05E8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13.1.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Apresentar na forma de anexo da proposta técnica.</w:t>
      </w:r>
    </w:p>
    <w:p w14:paraId="1375587F" w14:textId="77777777" w:rsidR="00071B44" w:rsidRDefault="00071B44">
      <w:pPr>
        <w:spacing w:line="210" w:lineRule="atLeast"/>
        <w:rPr>
          <w:rFonts w:ascii="Arial" w:hAnsi="Arial"/>
          <w:color w:val="000000"/>
          <w:sz w:val="22"/>
          <w:szCs w:val="22"/>
        </w:rPr>
      </w:pPr>
    </w:p>
    <w:p w14:paraId="17D0B0FE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14.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Etapas para a implementação do plano.</w:t>
      </w:r>
    </w:p>
    <w:p w14:paraId="3C22C43C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14.1.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As etapas para a implementação do plano poderão ser apresentadas na forma de anexo ou descritas na forma de quadro.</w:t>
      </w: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071B44" w14:paraId="4C8B6E92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CCF01F9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Etapas para a implementação do plano</w:t>
            </w:r>
          </w:p>
        </w:tc>
      </w:tr>
      <w:tr w:rsidR="00071B44" w14:paraId="62EA2ECE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DAAF6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93463A1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9DEDD2C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5D7B7F9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FB9C73E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51D4BB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FEDD204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19EC1F1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282EFE6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43A30FB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775F2A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4D127BA3" w14:textId="77777777" w:rsidR="00071B44" w:rsidRDefault="00071B44">
      <w:pPr>
        <w:pStyle w:val="Textbody"/>
        <w:spacing w:after="0"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591DFE25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15.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Estratégias de divulgação e procedimentos de inscrição da Entidade Fechada de Previdência Complementar;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98"/>
        <w:gridCol w:w="2642"/>
      </w:tblGrid>
      <w:tr w:rsidR="00071B44" w14:paraId="55B9CFD9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EABBACA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Estratégias de divulgação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D29C00F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Divulgação (Sim ou Não)</w:t>
            </w:r>
          </w:p>
        </w:tc>
      </w:tr>
      <w:tr w:rsidR="00071B44" w14:paraId="24FED080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678DD9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Página eletrônica de notícias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9ABC1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52C0CD02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91799E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Cartazes digitais ou impressos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3884E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0460B9E9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5BA2A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Informativos eletrônicos de imprensa 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(releases eletrônicos)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43C170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A9BF208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C8D96B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Vídeos institucionais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499311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29388ABD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A0E451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Relatórios anuais de gestão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3AEE0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79225CEB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2F3372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Publicações impressas (livros, revistas ou jornais)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D5A4DC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11E5987C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538AC6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Portal de Serviços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(Online)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F9AE2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3017925B" w14:textId="77777777" w:rsidR="00071B44" w:rsidRDefault="00071B44">
      <w:pPr>
        <w:spacing w:line="210" w:lineRule="atLeast"/>
        <w:rPr>
          <w:rFonts w:ascii="Arial" w:hAnsi="Arial"/>
          <w:b/>
          <w:bCs/>
          <w:color w:val="000000"/>
          <w:sz w:val="22"/>
          <w:szCs w:val="22"/>
        </w:rPr>
      </w:pP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071B44" w14:paraId="799BD60F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3568793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Procedimentos de inscrição</w:t>
            </w:r>
          </w:p>
        </w:tc>
      </w:tr>
      <w:tr w:rsidR="00071B44" w14:paraId="65AD61FD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FFE79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5826011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5AC4C88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E00EDE0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4B27681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D78FB52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54E4511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6BC7391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6AA6C12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300EC0C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56C455A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47950E03" w14:textId="77777777" w:rsidR="00071B44" w:rsidRDefault="00071B44">
      <w:pPr>
        <w:spacing w:line="210" w:lineRule="atLeast"/>
        <w:rPr>
          <w:rFonts w:ascii="Arial" w:hAnsi="Arial"/>
          <w:b/>
          <w:bCs/>
          <w:color w:val="000000"/>
          <w:sz w:val="22"/>
          <w:szCs w:val="22"/>
        </w:rPr>
      </w:pPr>
    </w:p>
    <w:p w14:paraId="3C476088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16.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Compatibilidade de sistemas entre o Patrocinador e a Entidade Fechada de Previdência Complementar.</w:t>
      </w:r>
    </w:p>
    <w:p w14:paraId="194F1A46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16.1.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Apresentar os formatos utilizados na estruturação dos dados, os sistemas informatizados e a forma de envio das informações à Entidade Fechada de Previdência Complementar.</w:t>
      </w: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071B44" w14:paraId="117C13C3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AAFB33E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Compatibilidade de sistemas</w:t>
            </w:r>
          </w:p>
        </w:tc>
      </w:tr>
      <w:tr w:rsidR="00071B44" w14:paraId="35C5E912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0EE931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714F656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A3B0C8C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65D1F65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D8A129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4F763AC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B7A842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DBEBFAD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9CBFF33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20A3FF0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E43B00E" w14:textId="77777777" w:rsidR="00071B44" w:rsidRDefault="00071B44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48B253E" w14:textId="77777777" w:rsidR="00071B44" w:rsidRDefault="00071B44">
      <w:pPr>
        <w:spacing w:line="210" w:lineRule="atLeast"/>
        <w:rPr>
          <w:color w:val="000000"/>
        </w:rPr>
      </w:pPr>
    </w:p>
    <w:p w14:paraId="69207CDC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17.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Plano de educação financeira e previdenciária da Entidade Fechada de Previdência Complementar.</w:t>
      </w:r>
    </w:p>
    <w:p w14:paraId="1E62ECC0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17.1.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Informar os programas de educação oferecidos aos participantes do plano de benefícios.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64"/>
        <w:gridCol w:w="2876"/>
      </w:tblGrid>
      <w:tr w:rsidR="00071B44" w14:paraId="2AB390F7" w14:textId="77777777"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42139A5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Plano de educação financeira e previdenciária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9AD5C1D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Informe somente uma opção</w:t>
            </w:r>
          </w:p>
        </w:tc>
      </w:tr>
      <w:tr w:rsidR="00071B44" w14:paraId="3A2E3F2E" w14:textId="77777777"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CD11B2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Não possui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CBBD1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006923FA" w14:textId="77777777"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3AA406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Educação financeira e previdenciária não contínua (cartilhas, cursos e palestras esporádicas)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B34BA1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114BBED7" w14:textId="77777777"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95E20B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Educação financeira e previdenciária contínua (consultorias e ciclos programados e educação continuada)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DB0FC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4EBA8640" w14:textId="77777777"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E50B5C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Ambos (Educação financeira e previdenciária não contínua e não contínua)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1864F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4BD2156" w14:textId="77777777" w:rsidR="00071B44" w:rsidRDefault="00071B44">
      <w:pPr>
        <w:pStyle w:val="Textbody"/>
        <w:spacing w:after="0" w:line="210" w:lineRule="atLeast"/>
        <w:rPr>
          <w:shd w:val="clear" w:color="auto" w:fill="auto"/>
        </w:rPr>
      </w:pPr>
    </w:p>
    <w:p w14:paraId="46B4C326" w14:textId="77777777" w:rsidR="00071B44" w:rsidRDefault="00E31073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18.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Manual ou Código de Ética e Conduta da Entidade Fechada de Previdência Complementar ou similar.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63"/>
        <w:gridCol w:w="2877"/>
      </w:tblGrid>
      <w:tr w:rsidR="00071B44" w14:paraId="53762E8B" w14:textId="77777777"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FAF59A8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Manual ou Código de Ética e Conduta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50F3522" w14:textId="77777777" w:rsidR="00071B44" w:rsidRDefault="00E31073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Informe somente uma opção</w:t>
            </w:r>
          </w:p>
        </w:tc>
      </w:tr>
      <w:tr w:rsidR="00071B44" w14:paraId="00621711" w14:textId="77777777"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E4787D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Não possui Manual ou Código de Ética e Conduta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EF4621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34B0AD0B" w14:textId="77777777"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1B87B2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Possui Manual ou Código de Ética e Conduta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318B10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71B44" w14:paraId="632ACD5C" w14:textId="77777777"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EB5CBA" w14:textId="77777777" w:rsidR="00071B44" w:rsidRDefault="00E31073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Possui Manual ou Código de Ética e Conduta e práticas e mecanismos de mitigação de conflito de interesses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5154B0" w14:textId="77777777" w:rsidR="00071B44" w:rsidRDefault="00071B44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5508A6A2" w14:textId="77777777" w:rsidR="00071B44" w:rsidRDefault="00071B44">
      <w:pPr>
        <w:pStyle w:val="Textbody"/>
        <w:spacing w:after="0" w:line="210" w:lineRule="atLeast"/>
        <w:rPr>
          <w:rFonts w:ascii="Arial" w:hAnsi="Arial"/>
          <w:color w:val="000000"/>
          <w:sz w:val="22"/>
          <w:szCs w:val="22"/>
          <w:shd w:val="clear" w:color="auto" w:fill="auto"/>
        </w:rPr>
      </w:pPr>
    </w:p>
    <w:sectPr w:rsidR="00071B44" w:rsidSect="00C36208">
      <w:pgSz w:w="11906" w:h="16838"/>
      <w:pgMar w:top="1761" w:right="1134" w:bottom="993" w:left="1134" w:header="75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6256" w14:textId="77777777" w:rsidR="00523C38" w:rsidRDefault="00523C38">
      <w:r>
        <w:separator/>
      </w:r>
    </w:p>
  </w:endnote>
  <w:endnote w:type="continuationSeparator" w:id="0">
    <w:p w14:paraId="75B66AD0" w14:textId="77777777" w:rsidR="00523C38" w:rsidRDefault="0052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charset w:val="00"/>
    <w:family w:val="roman"/>
    <w:pitch w:val="variable"/>
  </w:font>
  <w:font w:name="LiberationSerif-Italic">
    <w:altName w:val="Cambria"/>
    <w:charset w:val="00"/>
    <w:family w:val="roman"/>
    <w:pitch w:val="variable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B33C" w14:textId="77777777" w:rsidR="00523C38" w:rsidRDefault="00523C38">
      <w:r>
        <w:separator/>
      </w:r>
    </w:p>
  </w:footnote>
  <w:footnote w:type="continuationSeparator" w:id="0">
    <w:p w14:paraId="6852D887" w14:textId="77777777" w:rsidR="00523C38" w:rsidRDefault="0052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44"/>
    <w:rsid w:val="00071B44"/>
    <w:rsid w:val="00523C38"/>
    <w:rsid w:val="00A05372"/>
    <w:rsid w:val="00AF5D41"/>
    <w:rsid w:val="00C36208"/>
    <w:rsid w:val="00E3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21C2"/>
  <w15:docId w15:val="{52BDE113-6712-4346-B415-947F520D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92"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EF0FC5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9049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90492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07A35"/>
    <w:rPr>
      <w:rFonts w:ascii="Segoe UI" w:hAnsi="Segoe UI" w:cs="Mangal"/>
      <w:sz w:val="18"/>
      <w:szCs w:val="16"/>
    </w:rPr>
  </w:style>
  <w:style w:type="character" w:customStyle="1" w:styleId="fontstyle01">
    <w:name w:val="fontstyle01"/>
    <w:basedOn w:val="Fontepargpadro"/>
    <w:qFormat/>
    <w:rsid w:val="00525719"/>
    <w:rPr>
      <w:rFonts w:ascii="Verdana" w:hAnsi="Verdan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525719"/>
    <w:rPr>
      <w:rFonts w:ascii="Verdana-Bold" w:hAnsi="Verdana-Bold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sid w:val="00FB770D"/>
    <w:rPr>
      <w:rFonts w:ascii="LiberationSerif-Italic" w:hAnsi="LiberationSerif-Italic"/>
      <w:b w:val="0"/>
      <w:bCs w:val="0"/>
      <w:i/>
      <w:iCs/>
      <w:color w:val="000000"/>
      <w:sz w:val="18"/>
      <w:szCs w:val="18"/>
    </w:rPr>
  </w:style>
  <w:style w:type="character" w:customStyle="1" w:styleId="Cdigofonte">
    <w:name w:val="Código fonte"/>
    <w:qFormat/>
    <w:rPr>
      <w:rFonts w:ascii="Liberation Mono" w:eastAsia="NSimSun" w:hAnsi="Liberation Mono" w:cs="Liberation Mono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RodapChar">
    <w:name w:val="Rodapé Char"/>
    <w:basedOn w:val="Fontepargpadro"/>
    <w:link w:val="Rodap"/>
    <w:uiPriority w:val="99"/>
    <w:qFormat/>
    <w:rsid w:val="000B5B42"/>
    <w:rPr>
      <w:rFonts w:cs="Mangal"/>
      <w:szCs w:val="21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F90492"/>
  </w:style>
  <w:style w:type="paragraph" w:styleId="Legenda">
    <w:name w:val="caption"/>
    <w:basedOn w:val="Standard"/>
    <w:qFormat/>
    <w:rsid w:val="00F904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F90492"/>
    <w:pPr>
      <w:suppressLineNumbers/>
    </w:pPr>
  </w:style>
  <w:style w:type="paragraph" w:customStyle="1" w:styleId="Ttulo1">
    <w:name w:val="Título1"/>
    <w:basedOn w:val="Standard"/>
    <w:next w:val="Textbody"/>
    <w:qFormat/>
    <w:rsid w:val="00F904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F90492"/>
    <w:pPr>
      <w:textAlignment w:val="baseline"/>
    </w:pPr>
  </w:style>
  <w:style w:type="paragraph" w:customStyle="1" w:styleId="Textbody">
    <w:name w:val="Text body"/>
    <w:basedOn w:val="Standard"/>
    <w:qFormat/>
    <w:rsid w:val="00F90492"/>
    <w:pPr>
      <w:spacing w:after="140" w:line="276" w:lineRule="auto"/>
      <w:jc w:val="both"/>
    </w:pPr>
    <w:rPr>
      <w:shd w:val="clear" w:color="auto" w:fill="000000"/>
    </w:rPr>
  </w:style>
  <w:style w:type="paragraph" w:customStyle="1" w:styleId="Contedodatabela">
    <w:name w:val="Conteúdo da tabela"/>
    <w:basedOn w:val="Standard"/>
    <w:qFormat/>
    <w:rsid w:val="00F90492"/>
    <w:pPr>
      <w:widowControl w:val="0"/>
      <w:suppressLineNumbers/>
      <w:snapToGrid w:val="0"/>
      <w:jc w:val="center"/>
      <w:textAlignment w:val="center"/>
    </w:pPr>
  </w:style>
  <w:style w:type="paragraph" w:customStyle="1" w:styleId="Ttulodetabela">
    <w:name w:val="Título de tabela"/>
    <w:basedOn w:val="Contedodatabela"/>
    <w:qFormat/>
    <w:rsid w:val="00F90492"/>
    <w:rPr>
      <w:b/>
      <w:bCs/>
    </w:rPr>
  </w:style>
  <w:style w:type="paragraph" w:customStyle="1" w:styleId="CabealhoeRodap">
    <w:name w:val="Cabeçalho e Rodapé"/>
    <w:basedOn w:val="Standard"/>
    <w:qFormat/>
    <w:rsid w:val="00F90492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  <w:rsid w:val="00F90492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90492"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07A35"/>
    <w:rPr>
      <w:rFonts w:ascii="Segoe UI" w:hAnsi="Segoe UI" w:cs="Mangal"/>
      <w:sz w:val="18"/>
      <w:szCs w:val="16"/>
    </w:rPr>
  </w:style>
  <w:style w:type="paragraph" w:styleId="Rodap">
    <w:name w:val="footer"/>
    <w:basedOn w:val="Normal"/>
    <w:link w:val="RodapChar"/>
    <w:uiPriority w:val="99"/>
    <w:unhideWhenUsed/>
    <w:rsid w:val="000B5B42"/>
    <w:pPr>
      <w:tabs>
        <w:tab w:val="center" w:pos="4252"/>
        <w:tab w:val="right" w:pos="8504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C55D-273C-4B30-BCFE-D2DC0AA0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1435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Comissão</dc:creator>
  <dc:description/>
  <cp:lastModifiedBy>CGMA PMA</cp:lastModifiedBy>
  <cp:revision>4</cp:revision>
  <cp:lastPrinted>2022-01-25T17:15:00Z</cp:lastPrinted>
  <dcterms:created xsi:type="dcterms:W3CDTF">2022-01-31T20:41:00Z</dcterms:created>
  <dcterms:modified xsi:type="dcterms:W3CDTF">2022-02-02T17:03:00Z</dcterms:modified>
  <dc:language>pt-BR</dc:language>
</cp:coreProperties>
</file>