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87201" w14:textId="539C3871" w:rsidR="00211387" w:rsidRDefault="007B7AFB">
      <w:pPr>
        <w:pStyle w:val="Textbody"/>
        <w:spacing w:after="0" w:line="210" w:lineRule="atLeast"/>
        <w:jc w:val="center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ANEXO I</w:t>
      </w:r>
    </w:p>
    <w:p w14:paraId="2D0A602A" w14:textId="77777777" w:rsidR="00211387" w:rsidRDefault="007B7AFB">
      <w:pPr>
        <w:pStyle w:val="Textbody"/>
        <w:spacing w:after="0" w:line="360" w:lineRule="auto"/>
        <w:jc w:val="center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MODELO DE PROPOSTA TÉCNICA</w:t>
      </w:r>
    </w:p>
    <w:p w14:paraId="0217EFE5" w14:textId="77777777" w:rsidR="00211387" w:rsidRDefault="007B7AFB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1. Resultado gerado pela Entidade Fechada de Previdência Complementar.</w:t>
      </w:r>
    </w:p>
    <w:p w14:paraId="6B5AE65A" w14:textId="77777777" w:rsidR="00211387" w:rsidRDefault="007B7AFB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Rentabilidade Bruta Anual – </w:t>
      </w:r>
      <w:proofErr w:type="gramStart"/>
      <w:r>
        <w:rPr>
          <w:rFonts w:ascii="Arial" w:hAnsi="Arial"/>
          <w:color w:val="000000"/>
          <w:sz w:val="22"/>
          <w:szCs w:val="22"/>
          <w:shd w:val="clear" w:color="auto" w:fill="auto"/>
        </w:rPr>
        <w:t>RB</w:t>
      </w:r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(</w:t>
      </w:r>
      <w:proofErr w:type="gramEnd"/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exercício)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auferida no plano de benefícios da Entidade Fechada de Previdência Complementar.</w:t>
      </w:r>
    </w:p>
    <w:p w14:paraId="1943F373" w14:textId="77777777" w:rsidR="00211387" w:rsidRDefault="007B7AFB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1.1.1.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 rentabilidade bruta anual será apresentada em sua forma decimal.</w:t>
      </w:r>
    </w:p>
    <w:p w14:paraId="5EDF4AC8" w14:textId="77777777" w:rsidR="00211387" w:rsidRDefault="007B7AFB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1.1.2.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 criação da EFPC em período posterior ao exercício de 2016, e consequentemente, a indisponibilidade dos dados de rentabilidade, não impossibilita a participação no presente processo seletivo.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2"/>
        <w:gridCol w:w="7638"/>
      </w:tblGrid>
      <w:tr w:rsidR="00211387" w14:paraId="5E2CEA6D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744C9DA" w14:textId="77777777" w:rsidR="00211387" w:rsidRDefault="007B7AFB">
            <w:pPr>
              <w:pStyle w:val="Contedodatabela"/>
              <w:spacing w:before="171" w:after="171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Período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50078F3" w14:textId="77777777" w:rsidR="00211387" w:rsidRDefault="007B7AFB">
            <w:pPr>
              <w:pStyle w:val="Contedodatabela"/>
              <w:spacing w:before="114" w:after="114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Rentabilidade Bruta Anual – RB</w:t>
            </w:r>
          </w:p>
        </w:tc>
      </w:tr>
      <w:tr w:rsidR="00211387" w14:paraId="03AECEEB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2A43DE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7A878B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5764AE91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44C4BE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3C8FC8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0FE5710A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89D262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58CE0B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454ED262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2E3577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C61635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3590C24A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E9DF5A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2A7329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2EB98EF2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A54EC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189284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1FADAE36" w14:textId="77777777" w:rsidR="00211387" w:rsidRDefault="00211387">
      <w:pPr>
        <w:spacing w:line="210" w:lineRule="atLeast"/>
        <w:rPr>
          <w:color w:val="000000"/>
          <w:sz w:val="22"/>
          <w:szCs w:val="22"/>
        </w:rPr>
      </w:pPr>
    </w:p>
    <w:p w14:paraId="65010E5A" w14:textId="77777777" w:rsidR="00211387" w:rsidRDefault="00211387">
      <w:pPr>
        <w:spacing w:line="210" w:lineRule="atLeast"/>
        <w:rPr>
          <w:color w:val="000000"/>
          <w:sz w:val="22"/>
          <w:szCs w:val="22"/>
        </w:rPr>
      </w:pPr>
    </w:p>
    <w:p w14:paraId="7490907F" w14:textId="77777777" w:rsidR="00211387" w:rsidRDefault="007B7AFB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1.2.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Deverão ser deduzidas as despesas administrativas da Entidade Fechada de Previdência Complementar da Rentabilidade Líquida Anual – </w:t>
      </w:r>
      <w:proofErr w:type="gramStart"/>
      <w:r>
        <w:rPr>
          <w:rFonts w:ascii="Arial" w:hAnsi="Arial"/>
          <w:color w:val="000000"/>
          <w:sz w:val="22"/>
          <w:szCs w:val="22"/>
          <w:shd w:val="clear" w:color="auto" w:fill="auto"/>
        </w:rPr>
        <w:t>RL</w:t>
      </w:r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(</w:t>
      </w:r>
      <w:proofErr w:type="gramEnd"/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exercício)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 ser apresentada.</w:t>
      </w:r>
    </w:p>
    <w:p w14:paraId="6904575D" w14:textId="77777777" w:rsidR="00211387" w:rsidRDefault="007B7AFB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1.2.1.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 rentabilidade líquida anual será apresentada em sua forma decimal.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2"/>
        <w:gridCol w:w="7638"/>
      </w:tblGrid>
      <w:tr w:rsidR="00211387" w14:paraId="5DA8AE71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698751B" w14:textId="77777777" w:rsidR="00211387" w:rsidRDefault="007B7AFB">
            <w:pPr>
              <w:pStyle w:val="Contedodatabela"/>
              <w:spacing w:before="171" w:after="171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Período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1D18359" w14:textId="77777777" w:rsidR="00211387" w:rsidRDefault="007B7AFB">
            <w:pPr>
              <w:pStyle w:val="Contedodatabela"/>
              <w:spacing w:before="114" w:after="114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Rentabilidade Líquida Anual – RL</w:t>
            </w:r>
          </w:p>
        </w:tc>
      </w:tr>
      <w:tr w:rsidR="00211387" w14:paraId="026A94D9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391F56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740181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4720E5DB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DCFA49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7A97DE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AA8ADEB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1EE3F7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1C59AA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2B754CFD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24DE12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8403E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75861A27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173DCE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AAF501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0ADF1503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A62E7F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52A05E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2B35C5EB" w14:textId="77777777" w:rsidR="00211387" w:rsidRDefault="00211387">
      <w:pPr>
        <w:pStyle w:val="Textbody"/>
        <w:spacing w:after="0" w:line="360" w:lineRule="auto"/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</w:pPr>
    </w:p>
    <w:p w14:paraId="48F69A31" w14:textId="77777777" w:rsidR="00211387" w:rsidRDefault="007B7AFB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1.3.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Caberá à</w:t>
      </w: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Entidade Fechada de Previdência Complementar a apresentação da Rentabilidade Real Anual – </w:t>
      </w:r>
      <w:proofErr w:type="gramStart"/>
      <w:r>
        <w:rPr>
          <w:rFonts w:ascii="Arial" w:hAnsi="Arial"/>
          <w:color w:val="000000"/>
          <w:sz w:val="22"/>
          <w:szCs w:val="22"/>
          <w:shd w:val="clear" w:color="auto" w:fill="auto"/>
        </w:rPr>
        <w:t>RR</w:t>
      </w:r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(</w:t>
      </w:r>
      <w:proofErr w:type="gramEnd"/>
      <w:r>
        <w:rPr>
          <w:rFonts w:ascii="Arial" w:hAnsi="Arial"/>
          <w:color w:val="000000"/>
          <w:sz w:val="22"/>
          <w:szCs w:val="22"/>
          <w:shd w:val="clear" w:color="auto" w:fill="auto"/>
          <w:vertAlign w:val="subscript"/>
        </w:rPr>
        <w:t>exercício)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, com base no Índice Nacional de Preços ao Consumidor Amplo (IPCA), relativo a cada exercício financeiro, que será calculada a partir da seguinte fórmula:</w:t>
      </w:r>
    </w:p>
    <w:p w14:paraId="37863121" w14:textId="77777777" w:rsidR="00211387" w:rsidRDefault="007B7AFB">
      <w:pPr>
        <w:pStyle w:val="Contedodatabela"/>
        <w:spacing w:line="360" w:lineRule="auto"/>
      </w:pPr>
      <w:proofErr w:type="gramStart"/>
      <w:r>
        <w:rPr>
          <w:rFonts w:ascii="Arial" w:hAnsi="Arial"/>
          <w:i/>
          <w:iCs/>
          <w:color w:val="000000"/>
          <w:sz w:val="22"/>
          <w:szCs w:val="22"/>
        </w:rPr>
        <w:t>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(</w:t>
      </w:r>
      <w:proofErr w:type="gramEnd"/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exercício)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= [(1 + RL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(exercício)</w:t>
      </w:r>
      <w:r>
        <w:rPr>
          <w:rFonts w:ascii="Arial" w:hAnsi="Arial"/>
          <w:i/>
          <w:iCs/>
          <w:color w:val="000000"/>
          <w:sz w:val="22"/>
          <w:szCs w:val="22"/>
        </w:rPr>
        <w:t>) / (1 + IPCA)] -1</w:t>
      </w:r>
    </w:p>
    <w:p w14:paraId="321784F9" w14:textId="77777777" w:rsidR="00211387" w:rsidRDefault="007B7AFB">
      <w:pPr>
        <w:pStyle w:val="Contedodatabela"/>
        <w:spacing w:before="57" w:after="57" w:line="360" w:lineRule="auto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1.3.1. </w:t>
      </w:r>
      <w:r>
        <w:rPr>
          <w:rFonts w:ascii="Arial" w:hAnsi="Arial"/>
          <w:color w:val="000000"/>
          <w:sz w:val="22"/>
          <w:szCs w:val="22"/>
        </w:rPr>
        <w:t>O Índice Nacional de Preços ao Consumidor Amplo (IPCA) será utilizado em sua forma decimal.</w:t>
      </w:r>
    </w:p>
    <w:p w14:paraId="4B5510F5" w14:textId="77777777" w:rsidR="00211387" w:rsidRDefault="007B7AFB">
      <w:pPr>
        <w:pStyle w:val="Contedodatabela"/>
        <w:spacing w:line="360" w:lineRule="auto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1.3.2. </w:t>
      </w:r>
      <w:r>
        <w:rPr>
          <w:rFonts w:ascii="Arial" w:hAnsi="Arial"/>
          <w:color w:val="000000"/>
          <w:sz w:val="22"/>
          <w:szCs w:val="22"/>
        </w:rPr>
        <w:t xml:space="preserve">A rentabilidade real anual será </w:t>
      </w:r>
      <w:proofErr w:type="gramStart"/>
      <w:r>
        <w:rPr>
          <w:rFonts w:ascii="Arial" w:hAnsi="Arial"/>
          <w:color w:val="000000"/>
          <w:sz w:val="22"/>
          <w:szCs w:val="22"/>
        </w:rPr>
        <w:t>apresentado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em sua forma decimal.</w:t>
      </w:r>
    </w:p>
    <w:p w14:paraId="1978724E" w14:textId="77777777" w:rsidR="00211387" w:rsidRDefault="007B7AFB">
      <w:pPr>
        <w:pStyle w:val="Contedodatabela"/>
        <w:spacing w:before="57" w:after="57"/>
        <w:jc w:val="both"/>
      </w:pPr>
      <w:r>
        <w:rPr>
          <w:rFonts w:ascii="Arial" w:hAnsi="Arial"/>
          <w:b/>
          <w:bCs/>
          <w:i/>
          <w:iCs/>
          <w:color w:val="000000"/>
          <w:sz w:val="22"/>
          <w:szCs w:val="22"/>
        </w:rPr>
        <w:t>Considera-se: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i/>
          <w:iCs/>
          <w:color w:val="000000"/>
          <w:sz w:val="22"/>
          <w:szCs w:val="22"/>
        </w:rPr>
        <w:t>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(</w:t>
      </w:r>
      <w:proofErr w:type="gramEnd"/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exercício)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= Rentabilidade Real Anual; RL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(Anual)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= Rentabilidade Líquida Anual; IPCA </w:t>
      </w:r>
      <w:r>
        <w:rPr>
          <w:rFonts w:ascii="Arial" w:hAnsi="Arial"/>
          <w:i/>
          <w:iCs/>
          <w:color w:val="000000"/>
          <w:sz w:val="22"/>
          <w:szCs w:val="22"/>
        </w:rPr>
        <w:lastRenderedPageBreak/>
        <w:t>= Índice Nacional de Preços ao Consumidor Amplo no exercício.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2"/>
        <w:gridCol w:w="7638"/>
      </w:tblGrid>
      <w:tr w:rsidR="00211387" w14:paraId="53ACDF10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CC5D202" w14:textId="77777777" w:rsidR="00211387" w:rsidRDefault="007B7AFB">
            <w:pPr>
              <w:pStyle w:val="Contedodatabela"/>
              <w:spacing w:before="171" w:after="171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Exercício/Ano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C166EFF" w14:textId="77777777" w:rsidR="00211387" w:rsidRDefault="007B7AFB">
            <w:pPr>
              <w:pStyle w:val="Contedodatabela"/>
              <w:spacing w:before="114" w:after="114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Rentabilidade Real Anual (RR)</w:t>
            </w:r>
          </w:p>
        </w:tc>
      </w:tr>
      <w:tr w:rsidR="00211387" w14:paraId="6D5EE153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F64C05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CF222C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DBDD8DD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72A35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1B133E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6E7FF3C0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3557A0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6F5795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4FDC7FE0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B6FA12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A45EFB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71251DD7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229328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745D1F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0D8F017E" w14:textId="77777777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F6A80F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9A111B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4238F998" w14:textId="77777777" w:rsidR="00211387" w:rsidRDefault="00211387">
      <w:pPr>
        <w:widowControl w:val="0"/>
        <w:spacing w:line="360" w:lineRule="auto"/>
        <w:rPr>
          <w:rFonts w:ascii="Arial" w:hAnsi="Arial"/>
          <w:i/>
          <w:iCs/>
          <w:color w:val="000000"/>
          <w:sz w:val="22"/>
          <w:szCs w:val="22"/>
        </w:rPr>
      </w:pPr>
    </w:p>
    <w:p w14:paraId="1ECC0640" w14:textId="77777777" w:rsidR="00211387" w:rsidRDefault="007B7AFB">
      <w:pPr>
        <w:pStyle w:val="Textbody"/>
        <w:spacing w:after="0" w:line="360" w:lineRule="auto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1.4.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Para fins de cálculo da Rentabilidade Acumulada, utilizar-se-á as seguintes fórmulas:</w:t>
      </w:r>
    </w:p>
    <w:p w14:paraId="14188A69" w14:textId="77777777" w:rsidR="00211387" w:rsidRDefault="007B7AFB">
      <w:pPr>
        <w:pStyle w:val="Contedodatabela"/>
        <w:spacing w:before="57" w:after="57"/>
      </w:pPr>
      <w:r>
        <w:rPr>
          <w:rFonts w:ascii="Arial" w:hAnsi="Arial"/>
          <w:i/>
          <w:iCs/>
          <w:color w:val="000000"/>
          <w:sz w:val="22"/>
          <w:szCs w:val="22"/>
        </w:rPr>
        <w:t>RA = [(1 + 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1º exercício</w:t>
      </w:r>
      <w:r>
        <w:rPr>
          <w:rFonts w:ascii="Arial" w:hAnsi="Arial"/>
          <w:i/>
          <w:iCs/>
          <w:color w:val="000000"/>
          <w:sz w:val="22"/>
          <w:szCs w:val="22"/>
        </w:rPr>
        <w:t>) x (1 + 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2º exercício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) x (…) (1 + </w:t>
      </w:r>
      <w:proofErr w:type="spellStart"/>
      <w:r>
        <w:rPr>
          <w:rFonts w:ascii="Arial" w:hAnsi="Arial"/>
          <w:i/>
          <w:iCs/>
          <w:color w:val="000000"/>
          <w:sz w:val="22"/>
          <w:szCs w:val="22"/>
        </w:rPr>
        <w:t>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último</w:t>
      </w:r>
      <w:proofErr w:type="spellEnd"/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 xml:space="preserve"> exercício</w:t>
      </w:r>
      <w:proofErr w:type="gramStart"/>
      <w:r>
        <w:rPr>
          <w:rFonts w:ascii="Arial" w:hAnsi="Arial"/>
          <w:i/>
          <w:iCs/>
          <w:color w:val="000000"/>
          <w:sz w:val="22"/>
          <w:szCs w:val="22"/>
        </w:rPr>
        <w:t>)]-</w:t>
      </w:r>
      <w:proofErr w:type="gramEnd"/>
      <w:r>
        <w:rPr>
          <w:rFonts w:ascii="Arial" w:hAnsi="Arial"/>
          <w:i/>
          <w:iCs/>
          <w:color w:val="000000"/>
          <w:sz w:val="22"/>
          <w:szCs w:val="22"/>
        </w:rPr>
        <w:t>1</w:t>
      </w:r>
    </w:p>
    <w:p w14:paraId="0C82AABA" w14:textId="77777777" w:rsidR="00211387" w:rsidRDefault="007B7AFB">
      <w:pPr>
        <w:pStyle w:val="Contedodatabela"/>
        <w:spacing w:before="114" w:after="114" w:line="360" w:lineRule="auto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1.4.1. </w:t>
      </w:r>
      <w:r>
        <w:rPr>
          <w:rFonts w:ascii="Arial" w:hAnsi="Arial"/>
          <w:color w:val="000000"/>
          <w:sz w:val="22"/>
          <w:szCs w:val="22"/>
        </w:rPr>
        <w:t xml:space="preserve">A rentabilidade acumulada será </w:t>
      </w:r>
      <w:proofErr w:type="gramStart"/>
      <w:r>
        <w:rPr>
          <w:rFonts w:ascii="Arial" w:hAnsi="Arial"/>
          <w:color w:val="000000"/>
          <w:sz w:val="22"/>
          <w:szCs w:val="22"/>
        </w:rPr>
        <w:t>apresentado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em sua forma decimal.</w:t>
      </w:r>
    </w:p>
    <w:p w14:paraId="0BDC471D" w14:textId="77777777" w:rsidR="00211387" w:rsidRDefault="007B7AFB">
      <w:pPr>
        <w:pStyle w:val="Contedodatabela"/>
        <w:spacing w:before="57" w:after="57"/>
        <w:jc w:val="both"/>
      </w:pP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Considera-se: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 RA = Rentabilidade Acumulada; </w:t>
      </w:r>
      <w:proofErr w:type="gramStart"/>
      <w:r>
        <w:rPr>
          <w:rFonts w:ascii="Arial" w:hAnsi="Arial"/>
          <w:i/>
          <w:iCs/>
          <w:color w:val="000000"/>
          <w:sz w:val="22"/>
          <w:szCs w:val="22"/>
        </w:rPr>
        <w:t>RR</w:t>
      </w:r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(</w:t>
      </w:r>
      <w:proofErr w:type="gramEnd"/>
      <w:r>
        <w:rPr>
          <w:rFonts w:ascii="Arial" w:hAnsi="Arial"/>
          <w:i/>
          <w:iCs/>
          <w:color w:val="000000"/>
          <w:sz w:val="22"/>
          <w:szCs w:val="22"/>
          <w:vertAlign w:val="subscript"/>
        </w:rPr>
        <w:t>exercício)</w:t>
      </w:r>
      <w:r>
        <w:rPr>
          <w:rFonts w:ascii="Arial" w:hAnsi="Arial"/>
          <w:i/>
          <w:iCs/>
          <w:color w:val="000000"/>
          <w:sz w:val="22"/>
          <w:szCs w:val="22"/>
        </w:rPr>
        <w:t xml:space="preserve"> = Rentabilidade Real Anual.</w:t>
      </w:r>
    </w:p>
    <w:tbl>
      <w:tblPr>
        <w:tblW w:w="9840" w:type="dxa"/>
        <w:tblInd w:w="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211387" w14:paraId="61683FA1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CA0D717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Rentabilidade Acumulada (RA)</w:t>
            </w:r>
          </w:p>
        </w:tc>
      </w:tr>
      <w:tr w:rsidR="00211387" w14:paraId="6C1116DC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5DFF1E" w14:textId="77777777" w:rsidR="00211387" w:rsidRDefault="00211387">
            <w:pPr>
              <w:pStyle w:val="Contedodatabela"/>
              <w:spacing w:line="210" w:lineRule="atLeast"/>
              <w:jc w:val="lef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6A6E497" w14:textId="77777777" w:rsidR="00211387" w:rsidRDefault="00211387">
      <w:pPr>
        <w:pStyle w:val="Contedodatabela"/>
        <w:spacing w:before="57" w:after="57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2B9C59A3" w14:textId="77777777" w:rsidR="00211387" w:rsidRDefault="007B7AFB">
      <w:pPr>
        <w:pStyle w:val="Contedodatabela"/>
        <w:spacing w:before="57" w:after="57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1.5. </w:t>
      </w:r>
      <w:r>
        <w:rPr>
          <w:rFonts w:ascii="Arial" w:hAnsi="Arial"/>
          <w:color w:val="000000"/>
          <w:sz w:val="22"/>
          <w:szCs w:val="22"/>
        </w:rPr>
        <w:t>Para fins de cálculo da Média da Rentabilidade Real – MRR, utilizar-se-á a seguinte fórmula:</w:t>
      </w:r>
    </w:p>
    <w:p w14:paraId="28278175" w14:textId="77777777" w:rsidR="00211387" w:rsidRDefault="007B7AFB">
      <w:pPr>
        <w:pStyle w:val="Contedodatabela"/>
        <w:spacing w:before="57" w:after="57"/>
      </w:pPr>
      <w:r>
        <w:rPr>
          <w:rFonts w:ascii="Arial" w:hAnsi="Arial"/>
          <w:i/>
          <w:iCs/>
          <w:color w:val="000000"/>
          <w:sz w:val="22"/>
          <w:szCs w:val="22"/>
        </w:rPr>
        <w:t>MRR = RA / n</w:t>
      </w:r>
    </w:p>
    <w:p w14:paraId="0E9E24AC" w14:textId="77777777" w:rsidR="00211387" w:rsidRDefault="007B7AFB">
      <w:pPr>
        <w:pStyle w:val="Contedodatabela"/>
        <w:spacing w:before="171" w:after="171" w:line="360" w:lineRule="auto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1.5.1. </w:t>
      </w:r>
      <w:r>
        <w:rPr>
          <w:rFonts w:ascii="Arial" w:hAnsi="Arial"/>
          <w:color w:val="000000"/>
          <w:sz w:val="22"/>
          <w:szCs w:val="22"/>
        </w:rPr>
        <w:t>A média da rentabilidade real será apresentada em sua forma decimal.</w:t>
      </w:r>
    </w:p>
    <w:p w14:paraId="63F192AE" w14:textId="77777777" w:rsidR="00211387" w:rsidRDefault="007B7AFB">
      <w:pPr>
        <w:pStyle w:val="Contedodatabela"/>
        <w:spacing w:before="57" w:after="57"/>
        <w:jc w:val="both"/>
      </w:pP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Considera-se: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/>
          <w:i/>
          <w:iCs/>
          <w:color w:val="000000"/>
          <w:sz w:val="20"/>
          <w:szCs w:val="20"/>
        </w:rPr>
        <w:t>MRR</w:t>
      </w:r>
      <w:r>
        <w:rPr>
          <w:rFonts w:ascii="Arial" w:hAnsi="Arial"/>
          <w:i/>
          <w:iCs/>
          <w:color w:val="000000"/>
          <w:sz w:val="20"/>
          <w:szCs w:val="20"/>
          <w:vertAlign w:val="subscript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 =</w:t>
      </w:r>
      <w:proofErr w:type="gramEnd"/>
      <w:r>
        <w:rPr>
          <w:rFonts w:ascii="Arial" w:hAnsi="Arial"/>
          <w:i/>
          <w:iCs/>
          <w:color w:val="000000"/>
          <w:sz w:val="20"/>
          <w:szCs w:val="20"/>
        </w:rPr>
        <w:t xml:space="preserve"> média da rentabilidade real; n = número de exercícios apresentados; RA = rentabilidade acumulada.</w:t>
      </w:r>
    </w:p>
    <w:tbl>
      <w:tblPr>
        <w:tblW w:w="9840" w:type="dxa"/>
        <w:tblInd w:w="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211387" w14:paraId="0029B023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594FFE4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Média da Rentabilidade Real (MRR)</w:t>
            </w:r>
          </w:p>
        </w:tc>
      </w:tr>
      <w:tr w:rsidR="00211387" w14:paraId="53FC2EC8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56EE2E" w14:textId="77777777" w:rsidR="00211387" w:rsidRDefault="00211387">
            <w:pPr>
              <w:pStyle w:val="Contedodatabela"/>
              <w:spacing w:line="210" w:lineRule="atLeast"/>
              <w:jc w:val="lef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C9B8F3E" w14:textId="77777777" w:rsidR="00211387" w:rsidRDefault="00211387">
      <w:pPr>
        <w:widowControl w:val="0"/>
        <w:spacing w:before="57" w:after="57" w:line="210" w:lineRule="atLeast"/>
        <w:jc w:val="both"/>
        <w:rPr>
          <w:color w:val="000000"/>
          <w:sz w:val="22"/>
          <w:szCs w:val="22"/>
        </w:rPr>
      </w:pPr>
    </w:p>
    <w:p w14:paraId="46D2F62B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2. Ativo total sob gestão da Entidade Fechada de Previdência Complementar no encerramento do exercício de 2021.</w:t>
      </w:r>
    </w:p>
    <w:p w14:paraId="263AB5C0" w14:textId="77777777" w:rsidR="00211387" w:rsidRDefault="007B7AFB">
      <w:pPr>
        <w:pStyle w:val="Contedodatabela"/>
        <w:widowControl/>
        <w:spacing w:line="210" w:lineRule="atLeast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2.1. </w:t>
      </w:r>
      <w:r>
        <w:rPr>
          <w:rFonts w:ascii="Arial" w:hAnsi="Arial"/>
          <w:color w:val="000000"/>
          <w:sz w:val="22"/>
          <w:szCs w:val="22"/>
        </w:rPr>
        <w:t>Quadro relativo ao valor do ativo total sob gestão na data estabelecida.</w:t>
      </w:r>
    </w:p>
    <w:tbl>
      <w:tblPr>
        <w:tblW w:w="9840" w:type="dxa"/>
        <w:tblInd w:w="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211387" w14:paraId="0B258E98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55B5055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Ativo total sob gestão em 31/12/2021</w:t>
            </w:r>
          </w:p>
        </w:tc>
      </w:tr>
      <w:tr w:rsidR="00211387" w14:paraId="29311A8D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DC1C29" w14:textId="77777777" w:rsidR="00211387" w:rsidRDefault="00211387">
            <w:pPr>
              <w:pStyle w:val="Contedodatabela"/>
              <w:spacing w:line="210" w:lineRule="atLeast"/>
              <w:jc w:val="lef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5BD45BE7" w14:textId="77777777" w:rsidR="00211387" w:rsidRDefault="00211387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7CD68E19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3. Número de participantes </w:t>
      </w: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dos planos de benefícios da Entidade Fechada de Previdência Complementar.</w:t>
      </w:r>
    </w:p>
    <w:p w14:paraId="4E164579" w14:textId="77777777" w:rsidR="00211387" w:rsidRDefault="007B7AFB">
      <w:pPr>
        <w:pStyle w:val="Contedodatabela"/>
        <w:widowControl/>
        <w:spacing w:line="210" w:lineRule="atLeast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3.1. </w:t>
      </w:r>
      <w:r>
        <w:rPr>
          <w:rFonts w:ascii="Arial" w:hAnsi="Arial"/>
          <w:color w:val="000000"/>
          <w:sz w:val="22"/>
          <w:szCs w:val="22"/>
        </w:rPr>
        <w:t>Quantitativo total de participantes dos planos de benefícios da Entidade Fechada de Previdência Complementar em 31 de dezembro de 2021.</w:t>
      </w:r>
    </w:p>
    <w:tbl>
      <w:tblPr>
        <w:tblW w:w="9840" w:type="dxa"/>
        <w:tblInd w:w="-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211387" w14:paraId="4CC22143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7741E7B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Quantitativo total de participantes</w:t>
            </w:r>
          </w:p>
        </w:tc>
      </w:tr>
      <w:tr w:rsidR="00211387" w14:paraId="0BEECB71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82D33E" w14:textId="77777777" w:rsidR="00211387" w:rsidRDefault="00211387">
            <w:pPr>
              <w:pStyle w:val="Contedodatabela"/>
              <w:spacing w:line="210" w:lineRule="atLeast"/>
              <w:jc w:val="lef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2FF6053" w14:textId="77777777" w:rsidR="00211387" w:rsidRDefault="00211387">
      <w:pPr>
        <w:pStyle w:val="Contedodatabela"/>
        <w:spacing w:line="210" w:lineRule="atLeast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7A1F4BC8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4. Gestão Administrativa, gerenciamento dos Riscos e Governança </w:t>
      </w: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da Entidade Fechada de Previdência Complementar.</w:t>
      </w:r>
    </w:p>
    <w:p w14:paraId="1DAB2C9F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4.1.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Estrutura e mecanismos da Entidade Fechada de Previdência Complementar.</w:t>
      </w:r>
    </w:p>
    <w:p w14:paraId="4ADB9811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4.2.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A comprovação será realizada mediante apresentação dos regulamentos e atos internos que instituem os processos e órgãos no âmbito da Entidade Fechada de Previdência Complementar.</w:t>
      </w:r>
    </w:p>
    <w:p w14:paraId="6565A8E1" w14:textId="77777777" w:rsidR="00211387" w:rsidRDefault="00211387">
      <w:pPr>
        <w:pStyle w:val="Textbody"/>
        <w:spacing w:after="0" w:line="210" w:lineRule="atLeast"/>
        <w:rPr>
          <w:b/>
          <w:bCs/>
          <w:color w:val="000000"/>
          <w:shd w:val="clear" w:color="auto" w:fill="auto"/>
        </w:rPr>
      </w:pP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17"/>
        <w:gridCol w:w="4323"/>
      </w:tblGrid>
      <w:tr w:rsidR="00211387" w14:paraId="0021DF15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80C9E60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Processos e Órgãos Internos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7248C29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Existência (Sim ou Não)</w:t>
            </w:r>
          </w:p>
        </w:tc>
      </w:tr>
      <w:tr w:rsidR="00211387" w14:paraId="21F79B6C" w14:textId="77777777">
        <w:trPr>
          <w:trHeight w:hRule="exact" w:val="284"/>
        </w:trPr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77E878" w14:textId="77777777" w:rsidR="00211387" w:rsidRDefault="007B7AFB">
            <w:pPr>
              <w:pStyle w:val="Contedodatabela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Conselho Deliberativo (Obrigatório)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1E1425" w14:textId="77777777" w:rsidR="00211387" w:rsidRDefault="00211387">
            <w:pPr>
              <w:widowControl w:val="0"/>
              <w:rPr>
                <w:color w:val="000000"/>
              </w:rPr>
            </w:pPr>
          </w:p>
        </w:tc>
      </w:tr>
      <w:tr w:rsidR="00211387" w14:paraId="0075D480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1238C1" w14:textId="77777777" w:rsidR="00211387" w:rsidRDefault="007B7AFB">
            <w:pPr>
              <w:pStyle w:val="Contedodatabela"/>
              <w:spacing w:line="210" w:lineRule="atLeast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Conselho Fiscal (Obrigatório)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1818A2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6F63F2B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65D737" w14:textId="77777777" w:rsidR="00211387" w:rsidRDefault="007B7AFB">
            <w:pPr>
              <w:pStyle w:val="Contedodatabela"/>
              <w:spacing w:line="210" w:lineRule="atLeast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Diretoria-executiva (Obrigatório)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FE32F9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236BE7FB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E21DBF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Controle de riscos por meio do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Value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at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 Risk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9C3362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584BA863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AF568E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Comitê de Investimento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9885A3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68F87013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87C690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Gestão de Ativos e Passivos (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Asset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Liability</w:t>
            </w:r>
            <w:proofErr w:type="spellEnd"/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 Management – ALM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97209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1DF07A92" w14:textId="77777777" w:rsidR="00211387" w:rsidRDefault="00211387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2D9AFB92" w14:textId="77777777" w:rsidR="00211387" w:rsidRDefault="00211387">
      <w:pPr>
        <w:pStyle w:val="Textbody"/>
        <w:spacing w:after="0" w:line="210" w:lineRule="atLeast"/>
        <w:rPr>
          <w:rFonts w:ascii="Arial" w:hAnsi="Arial"/>
          <w:color w:val="000000"/>
          <w:sz w:val="22"/>
          <w:szCs w:val="22"/>
          <w:shd w:val="clear" w:color="auto" w:fill="auto"/>
        </w:rPr>
      </w:pPr>
    </w:p>
    <w:p w14:paraId="2DB1E349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5. Controle Interno da Entidade Fechada de Previdência Complementar.</w:t>
      </w:r>
    </w:p>
    <w:p w14:paraId="1C6939CB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5.1.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Estrutura de controle interno da Entidade Fechada de Previdência Complementar.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17"/>
        <w:gridCol w:w="4323"/>
      </w:tblGrid>
      <w:tr w:rsidR="00211387" w14:paraId="0103BDEC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BDAE529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Controle Interno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7960326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Quantitativo</w:t>
            </w:r>
          </w:p>
        </w:tc>
      </w:tr>
      <w:tr w:rsidR="00211387" w14:paraId="2CD16622" w14:textId="77777777"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9B68B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Quantitativo de responsáveis pelo Controle Interno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FCA1A1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7847F0DD" w14:textId="77777777" w:rsidR="00211387" w:rsidRDefault="00211387">
      <w:pPr>
        <w:rPr>
          <w:rFonts w:ascii="Arial" w:hAnsi="Arial"/>
          <w:color w:val="000000"/>
          <w:sz w:val="22"/>
          <w:szCs w:val="22"/>
        </w:rPr>
      </w:pPr>
    </w:p>
    <w:p w14:paraId="7AF053EB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6. Qualificação técnica, profissional e experiência</w:t>
      </w:r>
    </w:p>
    <w:p w14:paraId="70D049BE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6.1.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As certificações profissionais serão comprovadas a partir da apresentação dos certificados ou diplomas emitidos pelas entidades responsáveis.</w:t>
      </w:r>
    </w:p>
    <w:p w14:paraId="01A9E31B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6.2.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Somente será aceita 1 (uma) certificação por profissional.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7"/>
        <w:gridCol w:w="3625"/>
        <w:gridCol w:w="1418"/>
      </w:tblGrid>
      <w:tr w:rsidR="00211387" w14:paraId="5B3CA2C2" w14:textId="77777777">
        <w:trPr>
          <w:trHeight w:val="284"/>
        </w:trPr>
        <w:tc>
          <w:tcPr>
            <w:tcW w:w="4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D7A37A1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Cargo/Função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4B51DDE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Certificação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3478EC3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Quantitativo</w:t>
            </w:r>
          </w:p>
        </w:tc>
      </w:tr>
      <w:tr w:rsidR="00211387" w14:paraId="35D590AD" w14:textId="77777777">
        <w:tc>
          <w:tcPr>
            <w:tcW w:w="4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3CD71A" w14:textId="77777777" w:rsidR="00211387" w:rsidRDefault="007B7AFB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Administrador estatutário tecnicamente qualificado, diretor de investimentos, membros dos comitês de assessoramento que atuem diretamente com investimentos e demais responsáveis pela aplicação de recursos.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14C620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(CPA-20)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1B6FB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35F79732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1C205A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1FEEE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(CEA)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6DA8F6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03275CCC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702AFC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2DECDF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(CGA)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E5136F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46AD1FEB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1FBEED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C4226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ANCORD (AAI)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B27130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70E2612B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AE6045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B03879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(CNPI)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7321BF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62C22D40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6A515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E7F735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(CNPI-P)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03B1A1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BEF8E4D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4EE032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FBB6E1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(CGRPF-I)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A3B1F9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6A368E06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32E894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114FFB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ICSS (Profissional de Investimentos)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361E55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71207F27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F372A4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81DE17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FGV (Previdência Complementar)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1CA08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419C3955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BAEABD" w14:textId="77777777" w:rsidR="00211387" w:rsidRDefault="00211387">
            <w:pPr>
              <w:widowControl w:val="0"/>
              <w:rPr>
                <w:color w:val="000000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CC19F8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PLANEJAR (CFP)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0D199B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682238A0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04C9F" w14:textId="77777777" w:rsidR="00211387" w:rsidRDefault="00211387">
            <w:pPr>
              <w:widowControl w:val="0"/>
              <w:rPr>
                <w:color w:val="000000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9821F7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CFASB (CFA)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5BCF09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35A04694" w14:textId="77777777">
        <w:tc>
          <w:tcPr>
            <w:tcW w:w="4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E34059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Demais membros da diretoria-executiva, membro do conselho deliberativo e membro do conselho fiscal.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28513A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(CPA-20)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C0EF11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14BBCC1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068B7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7E2339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(CEA)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1A2D62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5FFC796C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94FBC7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8BB597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ANBIMA (CGA)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C259D0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6638B86C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CAFD8C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6DD17B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ANCORD (AAI)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0A2BA3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4D776A69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07E785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499C74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(CNPI)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03DE64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71CE9859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3A0DF1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35C18C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(CNPI-P)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4F0063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6BFC3A47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B78BFE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82424D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(CGRPF-I)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365233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5397DFD9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54A822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C30162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APIMEC (CGRPF-A)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8EF0F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516255DC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737A07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1D0B20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ICSS (Profissional de Investimentos)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40A763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7F71CC85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84AB0B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A2A1D5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FGV (Previdência Complementar)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27443D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552E7152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C00DE4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E1BC2C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IBGC (Conselheiros)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C9D61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87DCB10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BE43F5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4200CC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PLANEJAR (CFP)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255014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ED81FC7" w14:textId="77777777">
        <w:tc>
          <w:tcPr>
            <w:tcW w:w="4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E3D657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A2A3EB" w14:textId="77777777" w:rsidR="00211387" w:rsidRDefault="007B7AFB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CFASB (CFA)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773FD1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447C984" w14:textId="77777777" w:rsidR="00211387" w:rsidRDefault="00211387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310ABDF2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6.3.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A comprovação da qualificação e experiência da diretoria executiva se dará através de documentos oficiais, </w:t>
      </w:r>
      <w:proofErr w:type="spellStart"/>
      <w:r>
        <w:rPr>
          <w:rFonts w:ascii="Arial" w:hAnsi="Arial"/>
          <w:color w:val="000000"/>
          <w:sz w:val="22"/>
          <w:szCs w:val="22"/>
          <w:shd w:val="clear" w:color="auto" w:fill="auto"/>
        </w:rPr>
        <w:t>minicurrículos</w:t>
      </w:r>
      <w:proofErr w:type="spellEnd"/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e diplomas.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2640"/>
        <w:gridCol w:w="2400"/>
        <w:gridCol w:w="2640"/>
        <w:gridCol w:w="1440"/>
      </w:tblGrid>
      <w:tr w:rsidR="00211387" w14:paraId="18E531CD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425C376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7C8317A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61EE439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Cargo Função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A261C73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Tempo de Experiência em Previdência Complementar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31E3507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Grau de Escolaridade</w:t>
            </w:r>
          </w:p>
        </w:tc>
      </w:tr>
      <w:tr w:rsidR="00211387" w14:paraId="2C61D649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B43A4C" w14:textId="77777777" w:rsidR="00211387" w:rsidRDefault="007B7AFB">
            <w:pPr>
              <w:pStyle w:val="Contedodatabela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2D519F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A11CB3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D6D400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8FB6BA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5FBC1F2E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668AC2" w14:textId="77777777" w:rsidR="00211387" w:rsidRDefault="007B7AFB">
            <w:pPr>
              <w:pStyle w:val="Contedodatabela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5FEF5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2C59B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3CBE3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81919E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58FC6CE" w14:textId="77777777">
        <w:trPr>
          <w:trHeight w:val="18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051E2C" w14:textId="77777777" w:rsidR="00211387" w:rsidRDefault="007B7AFB">
            <w:pPr>
              <w:pStyle w:val="Contedodatabela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635E7F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2CDFD1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9318D0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2BACC5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4EE18AED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CA7A04" w14:textId="77777777" w:rsidR="00211387" w:rsidRDefault="007B7AFB">
            <w:pPr>
              <w:pStyle w:val="Contedodatabela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B7D999" w14:textId="77777777" w:rsidR="00211387" w:rsidRDefault="00211387">
            <w:pPr>
              <w:pStyle w:val="Contedodatabela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239CDF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45EC21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809504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3D9B8316" w14:textId="77777777" w:rsidR="00211387" w:rsidRDefault="00211387">
      <w:pPr>
        <w:rPr>
          <w:rFonts w:ascii="Arial" w:hAnsi="Arial"/>
          <w:color w:val="000000"/>
          <w:sz w:val="22"/>
          <w:szCs w:val="22"/>
        </w:rPr>
      </w:pPr>
    </w:p>
    <w:p w14:paraId="1200A66E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6.3.1.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Quadro de referência para preenchimento do item 6.3 do modelo de proposta técnica.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40"/>
      </w:tblGrid>
      <w:tr w:rsidR="00211387" w14:paraId="437F63CE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DFD8FB8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Tempo Experiência em Previdência Complementar</w:t>
            </w:r>
          </w:p>
        </w:tc>
      </w:tr>
      <w:tr w:rsidR="00211387" w14:paraId="5E2CA043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24A723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(Individualmente expresso em anos, meses e dias)</w:t>
            </w:r>
          </w:p>
        </w:tc>
      </w:tr>
      <w:tr w:rsidR="00211387" w14:paraId="1CBF1ADE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10D0D2B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Grau de Escolaridade</w:t>
            </w:r>
          </w:p>
        </w:tc>
      </w:tr>
      <w:tr w:rsidR="00211387" w14:paraId="5C679892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66E05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Ensino Superior Completo</w:t>
            </w:r>
          </w:p>
        </w:tc>
      </w:tr>
      <w:tr w:rsidR="00211387" w14:paraId="114698C6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550251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Especialização</w:t>
            </w:r>
          </w:p>
        </w:tc>
      </w:tr>
      <w:tr w:rsidR="00211387" w14:paraId="59714BC3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5F9202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Mestrado</w:t>
            </w:r>
          </w:p>
        </w:tc>
      </w:tr>
      <w:tr w:rsidR="00211387" w14:paraId="0F95E209" w14:textId="77777777"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46D66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Doutorado</w:t>
            </w:r>
          </w:p>
        </w:tc>
      </w:tr>
    </w:tbl>
    <w:p w14:paraId="040D300A" w14:textId="77777777" w:rsidR="00211387" w:rsidRDefault="00211387">
      <w:pPr>
        <w:rPr>
          <w:rFonts w:ascii="Arial" w:hAnsi="Arial"/>
          <w:color w:val="000000"/>
          <w:sz w:val="22"/>
          <w:szCs w:val="22"/>
        </w:rPr>
      </w:pPr>
    </w:p>
    <w:p w14:paraId="08F8AF07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7. Taxa de Administração e Carregamento</w:t>
      </w:r>
    </w:p>
    <w:p w14:paraId="475F4648" w14:textId="77777777" w:rsidR="00211387" w:rsidRPr="00922439" w:rsidRDefault="007B7AFB">
      <w:pPr>
        <w:pStyle w:val="Textbody"/>
        <w:spacing w:after="0" w:line="210" w:lineRule="atLeast"/>
        <w:rPr>
          <w:rFonts w:ascii="Arial" w:hAnsi="Arial"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7.1.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Informar a forma de custeio para a administração do plano por meio de taxas de administração e de carregamento, cobradas dos participantes sobre as contribuições e/ou saldo de conta. Os valores apresentados nesta proposta devem ser expressos em percentual ao ano, com duas casas decimais.</w:t>
      </w:r>
    </w:p>
    <w:tbl>
      <w:tblPr>
        <w:tblW w:w="989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5"/>
        <w:gridCol w:w="5010"/>
      </w:tblGrid>
      <w:tr w:rsidR="00211387" w14:paraId="2C57803B" w14:textId="77777777" w:rsidTr="00897F81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D180E7A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Taxa de Administração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EF01B64" w14:textId="29EBD973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Taxa de </w:t>
            </w:r>
            <w:r w:rsidR="000F3BC9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Carregamento</w:t>
            </w:r>
          </w:p>
        </w:tc>
      </w:tr>
      <w:tr w:rsidR="00211387" w14:paraId="79679979" w14:textId="77777777" w:rsidTr="00897F81"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DF140D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110E8B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8E90E22" w14:textId="77777777" w:rsidR="00CB78B1" w:rsidRDefault="00CB78B1" w:rsidP="005B4311">
      <w:pPr>
        <w:pStyle w:val="Textbody"/>
        <w:spacing w:after="0" w:line="210" w:lineRule="atLeast"/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</w:pPr>
    </w:p>
    <w:p w14:paraId="3DB7E22F" w14:textId="1527FC1D" w:rsidR="00EC0497" w:rsidRDefault="005B4311" w:rsidP="00EC0497">
      <w:pPr>
        <w:pStyle w:val="Textbody"/>
        <w:spacing w:line="210" w:lineRule="atLeast"/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7.2. </w:t>
      </w:r>
      <w:r w:rsidR="00CB78B1"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Diretrizes </w:t>
      </w:r>
      <w:r w:rsidR="008810BB"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para fornecimento de</w:t>
      </w:r>
      <w:r w:rsidR="00CB78B1"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 informações quantitativas</w:t>
      </w:r>
      <w:r w:rsidR="00EC0497"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 e de qualificação da Entidade:</w:t>
      </w:r>
    </w:p>
    <w:p w14:paraId="114CBA49" w14:textId="51C640FC" w:rsidR="009407FF" w:rsidRPr="009407FF" w:rsidRDefault="009407FF" w:rsidP="008810BB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7.</w:t>
      </w:r>
      <w:r w:rsid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.1</w:t>
      </w:r>
      <w:r w:rsidR="00C31935"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</w:t>
      </w:r>
      <w:r w:rsidR="00C31935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Ativo Total: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consolidação dos ativos dos planos de benefícios sob gestão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da entidade, excluindo o ativo da gestão assistencial das entidades que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administram planos de saúde com registro na Agência Nacional de Saúde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Suplementar - ANS;</w:t>
      </w:r>
    </w:p>
    <w:p w14:paraId="333E48FE" w14:textId="56B8B84B" w:rsidR="009407FF" w:rsidRPr="009407FF" w:rsidRDefault="009407FF" w:rsidP="009407FF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7.</w:t>
      </w:r>
      <w:r w:rsid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.2.</w:t>
      </w:r>
      <w:r w:rsidR="00C31935"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 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Total de Despesas com Pessoal e Encargos: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consolidação de despesas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administrativas com pagamento de pessoal e encargos trabalhistas. A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apuração é feita pela composição das despesas dessa natureza incluídas na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gestão </w:t>
      </w:r>
      <w:proofErr w:type="spellStart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previdencial</w:t>
      </w:r>
      <w:proofErr w:type="spellEnd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e de investimentos;</w:t>
      </w:r>
    </w:p>
    <w:p w14:paraId="65B20EB8" w14:textId="0A8A725E" w:rsidR="009407FF" w:rsidRPr="009407FF" w:rsidRDefault="009407FF" w:rsidP="009407FF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7.</w:t>
      </w:r>
      <w:r w:rsid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.3.</w:t>
      </w:r>
      <w:r w:rsidR="00C31935"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 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Total de Despesas com Serviços de Terceiros: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consolidação de despesas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administrativas com pagamento de serviços terceirizados. A apuração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também é feita pela composição das despesas dessa natureza incluídas na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gestão </w:t>
      </w:r>
      <w:proofErr w:type="spellStart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previdencial</w:t>
      </w:r>
      <w:proofErr w:type="spellEnd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e de investimentos;</w:t>
      </w:r>
    </w:p>
    <w:p w14:paraId="4DE8E8BF" w14:textId="79932749" w:rsidR="009407FF" w:rsidRDefault="009407FF" w:rsidP="009407FF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7.</w:t>
      </w:r>
      <w:r w:rsid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.4.</w:t>
      </w:r>
      <w:r w:rsidR="00C31935"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 </w:t>
      </w:r>
      <w:r w:rsidRPr="00C31935">
        <w:rPr>
          <w:rFonts w:ascii="Arial" w:hAnsi="Arial"/>
          <w:b/>
          <w:color w:val="000000"/>
          <w:sz w:val="22"/>
          <w:szCs w:val="22"/>
          <w:shd w:val="clear" w:color="auto" w:fill="auto"/>
        </w:rPr>
        <w:t>Outras Despesas Administrativas: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representa outras despesas administrativas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não contempladas nos itens anteriores, tais como treinamentos, congressos,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seminários, viagens, passagens, despesas gerais, depreciação, amortização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e outras despesas administrativas incluídas na gestão </w:t>
      </w:r>
      <w:proofErr w:type="spellStart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previdencial</w:t>
      </w:r>
      <w:proofErr w:type="spellEnd"/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e de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investimentos;</w:t>
      </w:r>
    </w:p>
    <w:p w14:paraId="3D3502CE" w14:textId="2E87FFB8" w:rsidR="009407FF" w:rsidRPr="009407FF" w:rsidRDefault="007F01B2" w:rsidP="009407FF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>7.</w:t>
      </w:r>
      <w:r w:rsid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>.5.</w:t>
      </w:r>
      <w:r w:rsidR="009407FF"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 Total de Despesas Administrativas: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consolidação das despesas da gestão</w:t>
      </w:r>
      <w:r w:rsid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administrativa, correspondendo à soma das despesas da gestão </w:t>
      </w:r>
      <w:proofErr w:type="spellStart"/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previdencial</w:t>
      </w:r>
      <w:proofErr w:type="spellEnd"/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,</w:t>
      </w:r>
      <w:r w:rsid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de investimentos e demais despesas. O total de despesas administrativas</w:t>
      </w:r>
      <w:r w:rsid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exclui, portanto, despesas administrativas</w:t>
      </w:r>
      <w:r w:rsid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de gestão assistencial (para</w:t>
      </w:r>
      <w:r w:rsid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aquelas entidades que também administram planos de saúde com registro</w:t>
      </w:r>
      <w:r w:rsid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na ANS) e despesas de reversão de recursos para o plano de benefícios;</w:t>
      </w:r>
    </w:p>
    <w:p w14:paraId="0A8D847A" w14:textId="273F3CE6" w:rsidR="009407FF" w:rsidRDefault="007F01B2" w:rsidP="009407FF">
      <w:pPr>
        <w:pStyle w:val="Textbody"/>
        <w:spacing w:line="210" w:lineRule="atLeast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lastRenderedPageBreak/>
        <w:t>7.</w:t>
      </w:r>
      <w:r w:rsid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>.6</w:t>
      </w:r>
      <w:r w:rsidR="00252E31"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>.</w:t>
      </w:r>
      <w:r w:rsidR="009407FF"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 Total de Receitas Administrativas: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consolidação das receitas da gestão</w:t>
      </w:r>
      <w:r w:rsid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administrativa, correspondendo à soma das receitas da gestão </w:t>
      </w:r>
      <w:proofErr w:type="spellStart"/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previdencial</w:t>
      </w:r>
      <w:proofErr w:type="spellEnd"/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,</w:t>
      </w:r>
      <w:r w:rsid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investimentos e demais receitas. O total de receitas administrativas exclui,</w:t>
      </w:r>
      <w:r w:rsid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portanto, receitas administrativas de gestão assistencial (para aquelas</w:t>
      </w:r>
      <w:r w:rsid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</w:t>
      </w:r>
      <w:r w:rsidR="009407FF" w:rsidRPr="009407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entidades que também administram planos de saúde com registro na ANS);</w:t>
      </w:r>
    </w:p>
    <w:p w14:paraId="1E6F6507" w14:textId="1FB942C5" w:rsidR="005D5509" w:rsidRDefault="005D5509" w:rsidP="00B86DD9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>7.</w:t>
      </w:r>
      <w:r w:rsid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>2</w:t>
      </w:r>
      <w:r w:rsidRPr="00B86DD9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.7. População: </w:t>
      </w:r>
      <w:r w:rsidRPr="005D5509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Total de participantes ativos, aposentados e pensionistas</w:t>
      </w:r>
      <w:r w:rsidR="008810BB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.</w:t>
      </w:r>
    </w:p>
    <w:p w14:paraId="4CB8FF1D" w14:textId="0D5F5132" w:rsidR="005B4311" w:rsidRDefault="005B4311" w:rsidP="00B86DD9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</w:p>
    <w:p w14:paraId="1CBAADDA" w14:textId="2E98E62A" w:rsidR="005B4311" w:rsidRPr="008810BB" w:rsidRDefault="008810BB" w:rsidP="00B86DD9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8810BB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7.3. </w:t>
      </w:r>
      <w:r w:rsidR="0027768A" w:rsidRPr="0027768A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Informações quantitativas e de qualificação da Entidade apuradas em 31/12/2021.</w:t>
      </w:r>
    </w:p>
    <w:tbl>
      <w:tblPr>
        <w:tblW w:w="989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2807"/>
      </w:tblGrid>
      <w:tr w:rsidR="005B4311" w14:paraId="39166F02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D2B8A64" w14:textId="41641F49" w:rsidR="005B4311" w:rsidRDefault="008810BB" w:rsidP="002034AA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Informações quantitativas e de qualificação da Entidade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A68FF49" w14:textId="6C01F180" w:rsidR="005B4311" w:rsidRDefault="005B4311" w:rsidP="002034AA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Apura</w:t>
            </w:r>
            <w:r w:rsidR="008810BB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do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em 31/12/2021</w:t>
            </w:r>
          </w:p>
        </w:tc>
      </w:tr>
      <w:tr w:rsidR="005B4311" w14:paraId="347022DC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AD7140" w14:textId="5A0A4656" w:rsidR="005B4311" w:rsidRDefault="008810BB" w:rsidP="008810B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Ativo total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DE6FB5" w14:textId="77777777" w:rsidR="005B4311" w:rsidRDefault="005B4311" w:rsidP="002034AA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B4311" w14:paraId="2C72F9A1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F61CED" w14:textId="45A43198" w:rsidR="005B4311" w:rsidRDefault="008810BB" w:rsidP="008810B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8810BB">
              <w:rPr>
                <w:rFonts w:ascii="Arial" w:hAnsi="Arial"/>
                <w:color w:val="000000"/>
                <w:sz w:val="18"/>
                <w:szCs w:val="18"/>
              </w:rPr>
              <w:t>Total de Despesas com Pessoal e Encargos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C0831F" w14:textId="77777777" w:rsidR="005B4311" w:rsidRDefault="005B4311" w:rsidP="002034AA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B4311" w14:paraId="27D7ED0F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DF6643" w14:textId="1A24D56F" w:rsidR="005B4311" w:rsidRDefault="008810BB" w:rsidP="008810B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8810BB">
              <w:rPr>
                <w:rFonts w:ascii="Arial" w:hAnsi="Arial"/>
                <w:color w:val="000000"/>
                <w:sz w:val="18"/>
                <w:szCs w:val="18"/>
              </w:rPr>
              <w:t>Total de Despesas com Serviços de Terceiros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62EAD7" w14:textId="77777777" w:rsidR="005B4311" w:rsidRDefault="005B4311" w:rsidP="002034AA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B4311" w14:paraId="092C8E64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AE1FB6" w14:textId="7EF2012F" w:rsidR="005B4311" w:rsidRDefault="008810BB" w:rsidP="008810B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8810BB">
              <w:rPr>
                <w:rFonts w:ascii="Arial" w:hAnsi="Arial"/>
                <w:color w:val="000000"/>
                <w:sz w:val="18"/>
                <w:szCs w:val="18"/>
              </w:rPr>
              <w:t>Outras Despesas Administrativas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0349A2" w14:textId="77777777" w:rsidR="005B4311" w:rsidRDefault="005B4311" w:rsidP="002034AA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8810BB" w14:paraId="04E36E1A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2C229B" w14:textId="65A3E408" w:rsidR="008810BB" w:rsidRPr="008810BB" w:rsidRDefault="008810BB" w:rsidP="008810B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8810BB">
              <w:rPr>
                <w:rFonts w:ascii="Arial" w:hAnsi="Arial"/>
                <w:color w:val="000000"/>
                <w:sz w:val="18"/>
                <w:szCs w:val="18"/>
              </w:rPr>
              <w:t>Total de Receitas Administrativas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3874BF" w14:textId="77777777" w:rsidR="008810BB" w:rsidRDefault="008810BB" w:rsidP="002034AA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8810BB" w14:paraId="42618843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6186FC" w14:textId="5561EB32" w:rsidR="008810BB" w:rsidRPr="008810BB" w:rsidRDefault="008810BB" w:rsidP="008810B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 w:rsidRPr="008810BB">
              <w:rPr>
                <w:rFonts w:ascii="Arial" w:hAnsi="Arial"/>
                <w:color w:val="000000"/>
                <w:sz w:val="18"/>
                <w:szCs w:val="18"/>
              </w:rPr>
              <w:t>População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8437E8" w14:textId="77777777" w:rsidR="008810BB" w:rsidRDefault="008810BB" w:rsidP="002034AA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E21AE61" w14:textId="77777777" w:rsidR="005B4311" w:rsidRDefault="005B4311" w:rsidP="00B86DD9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</w:p>
    <w:p w14:paraId="10BF680E" w14:textId="2D4AA368" w:rsidR="005B4311" w:rsidRPr="00F5479B" w:rsidRDefault="005B4311" w:rsidP="00B86DD9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>7.</w:t>
      </w:r>
      <w:r w:rsidR="008810BB">
        <w:rPr>
          <w:rFonts w:ascii="Arial" w:hAnsi="Arial"/>
          <w:b/>
          <w:color w:val="000000"/>
          <w:sz w:val="22"/>
          <w:szCs w:val="22"/>
          <w:shd w:val="clear" w:color="auto" w:fill="auto"/>
        </w:rPr>
        <w:t>4</w:t>
      </w:r>
      <w:r w:rsidRP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. </w:t>
      </w:r>
      <w:r w:rsidR="00F5479B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Indicadores de despesa administrativa.</w:t>
      </w:r>
    </w:p>
    <w:tbl>
      <w:tblPr>
        <w:tblW w:w="989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2807"/>
      </w:tblGrid>
      <w:tr w:rsidR="009407FF" w14:paraId="28174C4F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63E2548" w14:textId="5B5A9E4B" w:rsidR="009407FF" w:rsidRDefault="00E21B13" w:rsidP="002034AA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E21B13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Indicadores de despesa administrativa.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92914FF" w14:textId="2C9B6411" w:rsidR="009407FF" w:rsidRDefault="00B86DD9" w:rsidP="002034AA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Apura</w:t>
            </w:r>
            <w:r w:rsidR="00F5479B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do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em 31/12/2021</w:t>
            </w:r>
          </w:p>
        </w:tc>
      </w:tr>
      <w:tr w:rsidR="009407FF" w14:paraId="49B10BE2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D74C17" w14:textId="2FF26BFA" w:rsidR="009407FF" w:rsidRDefault="009407FF" w:rsidP="005D5509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9407FF">
              <w:rPr>
                <w:rFonts w:ascii="Arial" w:hAnsi="Arial"/>
                <w:color w:val="000000"/>
                <w:sz w:val="18"/>
                <w:szCs w:val="18"/>
              </w:rPr>
              <w:t>Despesa Administrativa sobre Ativo Total: relação entre o total de despesa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9407FF">
              <w:rPr>
                <w:rFonts w:ascii="Arial" w:hAnsi="Arial"/>
                <w:color w:val="000000"/>
                <w:sz w:val="18"/>
                <w:szCs w:val="18"/>
              </w:rPr>
              <w:t xml:space="preserve">administrativa do item </w:t>
            </w:r>
            <w:r w:rsidR="005D5509">
              <w:rPr>
                <w:rFonts w:ascii="Arial" w:hAnsi="Arial"/>
                <w:color w:val="000000"/>
                <w:sz w:val="18"/>
                <w:szCs w:val="18"/>
              </w:rPr>
              <w:t>“</w:t>
            </w:r>
            <w:r w:rsidR="005D5509" w:rsidRPr="005D5509">
              <w:rPr>
                <w:rFonts w:ascii="Arial" w:hAnsi="Arial"/>
                <w:color w:val="000000"/>
                <w:sz w:val="18"/>
                <w:szCs w:val="18"/>
              </w:rPr>
              <w:t>7.</w:t>
            </w:r>
            <w:r w:rsidR="008810BB"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 w:rsidR="005D5509" w:rsidRPr="005D5509">
              <w:rPr>
                <w:rFonts w:ascii="Arial" w:hAnsi="Arial"/>
                <w:color w:val="000000"/>
                <w:sz w:val="18"/>
                <w:szCs w:val="18"/>
              </w:rPr>
              <w:t>.5.</w:t>
            </w:r>
            <w:r w:rsidR="005D5509">
              <w:rPr>
                <w:rFonts w:ascii="Arial" w:hAnsi="Arial"/>
                <w:color w:val="000000"/>
                <w:sz w:val="18"/>
                <w:szCs w:val="18"/>
              </w:rPr>
              <w:t>”</w:t>
            </w:r>
            <w:r w:rsidR="005D5509" w:rsidRPr="005D5509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9407FF">
              <w:rPr>
                <w:rFonts w:ascii="Arial" w:hAnsi="Arial"/>
                <w:color w:val="000000"/>
                <w:sz w:val="18"/>
                <w:szCs w:val="18"/>
              </w:rPr>
              <w:t>em relação ao ativo total da entidade, apurado no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9407FF">
              <w:rPr>
                <w:rFonts w:ascii="Arial" w:hAnsi="Arial"/>
                <w:color w:val="000000"/>
                <w:sz w:val="18"/>
                <w:szCs w:val="18"/>
              </w:rPr>
              <w:t>item “</w:t>
            </w:r>
            <w:r w:rsidR="005D5509">
              <w:rPr>
                <w:rFonts w:ascii="Arial" w:hAnsi="Arial"/>
                <w:color w:val="000000"/>
                <w:sz w:val="18"/>
                <w:szCs w:val="18"/>
              </w:rPr>
              <w:t>7.</w:t>
            </w:r>
            <w:r w:rsidR="008810BB"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 w:rsidR="005D5509">
              <w:rPr>
                <w:rFonts w:ascii="Arial" w:hAnsi="Arial"/>
                <w:color w:val="000000"/>
                <w:sz w:val="18"/>
                <w:szCs w:val="18"/>
              </w:rPr>
              <w:t>.1.</w:t>
            </w:r>
            <w:r w:rsidRPr="009407FF">
              <w:rPr>
                <w:rFonts w:ascii="Arial" w:hAnsi="Arial"/>
                <w:color w:val="000000"/>
                <w:sz w:val="18"/>
                <w:szCs w:val="18"/>
              </w:rPr>
              <w:t>”</w:t>
            </w:r>
            <w:r w:rsidR="005D5509">
              <w:rPr>
                <w:rFonts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8EDC94" w14:textId="77777777" w:rsidR="009407FF" w:rsidRDefault="009407FF" w:rsidP="002034AA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407FF" w14:paraId="2C900137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21A928" w14:textId="1F21F8B4" w:rsidR="009407FF" w:rsidRDefault="005D5509" w:rsidP="005D5509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Despesa Administrativa sobre a Receita: relação entre o total de despesa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administrativa do item 7.</w:t>
            </w:r>
            <w:r w:rsidR="008810BB"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.5.  e a receita administrativa apurada no item “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7.</w:t>
            </w:r>
            <w:r w:rsidR="008810BB"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.6.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”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632505" w14:textId="77777777" w:rsidR="009407FF" w:rsidRDefault="009407FF" w:rsidP="002034AA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407FF" w14:paraId="46393755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8B7100" w14:textId="0E04D6B5" w:rsidR="009407FF" w:rsidRDefault="005D5509" w:rsidP="005D5509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Despesa Administrativa per capita: valor do total de despesa administrativa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do item “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7.</w:t>
            </w:r>
            <w:r w:rsidR="008810BB"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.5.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” em relação ao total de participantes do item “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7.</w:t>
            </w:r>
            <w:r w:rsidR="008810BB"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.7.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”, apurados em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base anual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7AD48F" w14:textId="77777777" w:rsidR="009407FF" w:rsidRDefault="009407FF" w:rsidP="002034AA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407FF" w14:paraId="639DFF30" w14:textId="77777777" w:rsidTr="00E21B13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0C995D" w14:textId="385079EA" w:rsidR="009407FF" w:rsidRDefault="005D5509" w:rsidP="005D5509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Receita per capita: valor do total de receitas administrativas do item “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7.</w:t>
            </w:r>
            <w:r w:rsidR="008810BB"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.6.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” em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relação ao total de participantes do item “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7.</w:t>
            </w:r>
            <w:r w:rsidR="008810BB"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.7.</w:t>
            </w:r>
            <w:r w:rsidRPr="005D5509">
              <w:rPr>
                <w:rFonts w:ascii="Arial" w:hAnsi="Arial"/>
                <w:color w:val="000000"/>
                <w:sz w:val="18"/>
                <w:szCs w:val="18"/>
              </w:rPr>
              <w:t>”, apurados em base anual.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644453" w14:textId="77777777" w:rsidR="009407FF" w:rsidRDefault="009407FF" w:rsidP="002034AA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7C1077E9" w14:textId="77777777" w:rsidR="00424E13" w:rsidRDefault="00424E13" w:rsidP="006B201E">
      <w:pPr>
        <w:pStyle w:val="Textbody"/>
        <w:spacing w:after="0" w:line="240" w:lineRule="auto"/>
        <w:rPr>
          <w:rFonts w:ascii="Arial" w:hAnsi="Arial"/>
          <w:b/>
          <w:color w:val="000000"/>
          <w:sz w:val="22"/>
          <w:szCs w:val="22"/>
          <w:shd w:val="clear" w:color="auto" w:fill="auto"/>
        </w:rPr>
      </w:pPr>
    </w:p>
    <w:p w14:paraId="21415EB7" w14:textId="7D1725C2" w:rsidR="00910CE1" w:rsidRDefault="006B201E" w:rsidP="006B201E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>7.</w:t>
      </w:r>
      <w:r w:rsidR="00910CE1">
        <w:rPr>
          <w:rFonts w:ascii="Arial" w:hAnsi="Arial"/>
          <w:b/>
          <w:color w:val="000000"/>
          <w:sz w:val="22"/>
          <w:szCs w:val="22"/>
          <w:shd w:val="clear" w:color="auto" w:fill="auto"/>
        </w:rPr>
        <w:t>5</w:t>
      </w:r>
      <w:r w:rsidRPr="005B4311"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. </w:t>
      </w:r>
      <w:r w:rsidR="00910CE1" w:rsidRPr="00910CE1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P</w:t>
      </w:r>
      <w:r w:rsidR="00910CE1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rojeção de saldo acumulado.</w:t>
      </w:r>
    </w:p>
    <w:p w14:paraId="048BAA07" w14:textId="333B100F" w:rsidR="00910CE1" w:rsidRPr="00910CE1" w:rsidRDefault="00910CE1" w:rsidP="006B201E">
      <w:pPr>
        <w:pStyle w:val="Textbody"/>
        <w:spacing w:after="0" w:line="240" w:lineRule="auto"/>
        <w:rPr>
          <w:rFonts w:ascii="Arial" w:hAnsi="Arial"/>
          <w:bCs/>
          <w:color w:val="000000"/>
          <w:sz w:val="22"/>
          <w:szCs w:val="22"/>
          <w:shd w:val="clear" w:color="auto" w:fill="auto"/>
        </w:rPr>
      </w:pPr>
      <w:r w:rsidRPr="00910CE1">
        <w:rPr>
          <w:rFonts w:ascii="Arial" w:hAnsi="Arial"/>
          <w:b/>
          <w:color w:val="000000"/>
          <w:sz w:val="22"/>
          <w:szCs w:val="22"/>
          <w:shd w:val="clear" w:color="auto" w:fill="auto"/>
        </w:rPr>
        <w:t>7.5.1.</w:t>
      </w: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 xml:space="preserve"> </w:t>
      </w:r>
      <w:r w:rsidRPr="00910CE1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O 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>valor projetado terá como base a simulação de um</w:t>
      </w:r>
      <w:r w:rsidRPr="00910CE1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aporte mensal de R$ 100,00 (cem</w:t>
      </w:r>
      <w:r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 reais), durante um período de </w:t>
      </w:r>
      <w:r w:rsidR="00187BFF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360 (trezentos e sessenta) meses</w:t>
      </w:r>
      <w:r w:rsidR="00D5383D">
        <w:rPr>
          <w:rFonts w:ascii="Arial" w:hAnsi="Arial"/>
          <w:bCs/>
          <w:color w:val="000000"/>
          <w:sz w:val="22"/>
          <w:szCs w:val="22"/>
          <w:shd w:val="clear" w:color="auto" w:fill="auto"/>
        </w:rPr>
        <w:t xml:space="preserve">, </w:t>
      </w:r>
      <w:r w:rsidR="001207E1">
        <w:rPr>
          <w:rFonts w:ascii="Arial" w:hAnsi="Arial"/>
          <w:bCs/>
          <w:color w:val="000000"/>
          <w:sz w:val="22"/>
          <w:szCs w:val="22"/>
          <w:shd w:val="clear" w:color="auto" w:fill="auto"/>
        </w:rPr>
        <w:t>e a taxa de juros a partir da Média de Rentabilidade Real, apurada no item 1.5.1, através da combinação entre a taxa de administração e carregamento cobradas pela Entidade.</w:t>
      </w:r>
    </w:p>
    <w:tbl>
      <w:tblPr>
        <w:tblW w:w="989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95"/>
      </w:tblGrid>
      <w:tr w:rsidR="00910CE1" w14:paraId="2DC5EB09" w14:textId="77777777" w:rsidTr="00C27402">
        <w:tc>
          <w:tcPr>
            <w:tcW w:w="9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BAB82CD" w14:textId="34DE46BC" w:rsidR="00910CE1" w:rsidRDefault="001207E1" w:rsidP="00910CE1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Projeção de saldo</w:t>
            </w:r>
            <w:r w:rsidR="007E6EA0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acumulado</w:t>
            </w:r>
          </w:p>
        </w:tc>
      </w:tr>
      <w:tr w:rsidR="00910CE1" w14:paraId="1F179631" w14:textId="77777777" w:rsidTr="00BE7863">
        <w:tc>
          <w:tcPr>
            <w:tcW w:w="9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17EBA" w14:textId="2E1C8256" w:rsidR="00910CE1" w:rsidRDefault="00910CE1" w:rsidP="002034AA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40EF102" w14:textId="77777777" w:rsidR="001207E1" w:rsidRDefault="001207E1">
      <w:pPr>
        <w:pStyle w:val="Textbody"/>
        <w:spacing w:after="0" w:line="210" w:lineRule="atLeast"/>
        <w:rPr>
          <w:rFonts w:ascii="Arial" w:hAnsi="Arial"/>
          <w:b/>
          <w:color w:val="000000"/>
          <w:sz w:val="22"/>
          <w:szCs w:val="22"/>
          <w:shd w:val="clear" w:color="auto" w:fill="auto"/>
        </w:rPr>
      </w:pPr>
    </w:p>
    <w:p w14:paraId="50F5CFA0" w14:textId="1A9BBF84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8. Tempo de existência.</w:t>
      </w:r>
    </w:p>
    <w:p w14:paraId="012B028C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8.1.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Tempo de existência da Entidade Fechada de Previdência Complementar, em anos.</w:t>
      </w:r>
    </w:p>
    <w:tbl>
      <w:tblPr>
        <w:tblW w:w="989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95"/>
      </w:tblGrid>
      <w:tr w:rsidR="00211387" w14:paraId="1FCFF843" w14:textId="77777777" w:rsidTr="001207E1">
        <w:tc>
          <w:tcPr>
            <w:tcW w:w="9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A0D6B08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Tempo de existência</w:t>
            </w:r>
          </w:p>
        </w:tc>
      </w:tr>
      <w:tr w:rsidR="00211387" w14:paraId="614888CA" w14:textId="77777777" w:rsidTr="001207E1">
        <w:trPr>
          <w:trHeight w:val="143"/>
        </w:trPr>
        <w:tc>
          <w:tcPr>
            <w:tcW w:w="9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73E5EE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9FD14B8" w14:textId="77777777" w:rsidR="00EE64B9" w:rsidRDefault="00EE64B9">
      <w:pPr>
        <w:pStyle w:val="Textbody"/>
        <w:spacing w:after="0" w:line="210" w:lineRule="atLeast"/>
        <w:rPr>
          <w:rFonts w:ascii="Arial" w:hAnsi="Arial"/>
          <w:b/>
          <w:color w:val="000000"/>
          <w:sz w:val="22"/>
          <w:szCs w:val="22"/>
          <w:shd w:val="clear" w:color="auto" w:fill="auto"/>
        </w:rPr>
      </w:pPr>
    </w:p>
    <w:p w14:paraId="4BD60C47" w14:textId="36D44F90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9. Transparência da Entidade Fechada de Previdência Complementar.</w:t>
      </w:r>
    </w:p>
    <w:tbl>
      <w:tblPr>
        <w:tblW w:w="989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54"/>
        <w:gridCol w:w="2641"/>
      </w:tblGrid>
      <w:tr w:rsidR="00211387" w14:paraId="1CDF1AF1" w14:textId="77777777" w:rsidTr="001207E1">
        <w:tc>
          <w:tcPr>
            <w:tcW w:w="7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DA1D5A9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Transparência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48E9460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Divulga (Sim ou Não)</w:t>
            </w:r>
          </w:p>
        </w:tc>
      </w:tr>
      <w:tr w:rsidR="00211387" w14:paraId="3A884809" w14:textId="77777777" w:rsidTr="001207E1">
        <w:tc>
          <w:tcPr>
            <w:tcW w:w="7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1950F7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Relatório Anual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43DD2A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7006C315" w14:textId="77777777" w:rsidTr="001207E1">
        <w:tc>
          <w:tcPr>
            <w:tcW w:w="7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404874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Política de Investimentos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28530C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E6CAA19" w14:textId="77777777" w:rsidTr="001207E1">
        <w:tc>
          <w:tcPr>
            <w:tcW w:w="7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76E0A8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Demonstrações Contábeis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9579C1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016504BF" w14:textId="77777777" w:rsidTr="001207E1">
        <w:tc>
          <w:tcPr>
            <w:tcW w:w="7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C63169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Parecer da Avaliação Atuarial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62690D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5FDEB2D2" w14:textId="77777777" w:rsidTr="001207E1">
        <w:tc>
          <w:tcPr>
            <w:tcW w:w="7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73D1E1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Atas dos Conselhos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476AF3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2AA2A91B" w14:textId="77777777" w:rsidTr="001207E1">
        <w:tc>
          <w:tcPr>
            <w:tcW w:w="7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7F0FD5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Remuneração da diretoria e conselheiros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F4DA7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16951894" w14:textId="77777777" w:rsidR="00211387" w:rsidRDefault="00211387">
      <w:pPr>
        <w:pStyle w:val="Textbody"/>
        <w:spacing w:after="0" w:line="210" w:lineRule="atLeast"/>
        <w:rPr>
          <w:color w:val="000000"/>
          <w:shd w:val="clear" w:color="auto" w:fill="auto"/>
        </w:rPr>
      </w:pPr>
    </w:p>
    <w:p w14:paraId="70DCA826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color w:val="000000"/>
          <w:sz w:val="22"/>
          <w:szCs w:val="22"/>
          <w:shd w:val="clear" w:color="auto" w:fill="auto"/>
        </w:rPr>
        <w:t>10. Aporte inicial</w:t>
      </w:r>
    </w:p>
    <w:p w14:paraId="5C2BB775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color w:val="000000"/>
          <w:sz w:val="22"/>
          <w:szCs w:val="22"/>
          <w:shd w:val="clear" w:color="auto" w:fill="auto"/>
        </w:rPr>
        <w:t>10.1. Informar a necessidade e a forma de eventual pagamento de aporte inicial pelo Patrocinador:</w:t>
      </w:r>
    </w:p>
    <w:tbl>
      <w:tblPr>
        <w:tblW w:w="989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95"/>
      </w:tblGrid>
      <w:tr w:rsidR="00211387" w14:paraId="28A3E209" w14:textId="77777777" w:rsidTr="001207E1">
        <w:tc>
          <w:tcPr>
            <w:tcW w:w="9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429F4E0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Aporte inicial</w:t>
            </w:r>
          </w:p>
        </w:tc>
      </w:tr>
      <w:tr w:rsidR="00211387" w14:paraId="0B0DADFE" w14:textId="77777777" w:rsidTr="001207E1">
        <w:trPr>
          <w:trHeight w:val="143"/>
        </w:trPr>
        <w:tc>
          <w:tcPr>
            <w:tcW w:w="9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2330A3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26D89568" w14:textId="77777777" w:rsidR="00211387" w:rsidRDefault="00211387">
      <w:pPr>
        <w:pStyle w:val="Textbody"/>
        <w:spacing w:after="0" w:line="210" w:lineRule="atLeast"/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</w:pPr>
    </w:p>
    <w:p w14:paraId="5DE89018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A política de investimento do plano autorizado e aprovado pela PREVIC.</w:t>
      </w:r>
    </w:p>
    <w:p w14:paraId="3DECD657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11.1.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Informar a existência e o quantitativo de perfis de investimento da Entidade Fechada de Previdência Complementar.</w:t>
      </w:r>
    </w:p>
    <w:tbl>
      <w:tblPr>
        <w:tblW w:w="9893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93"/>
      </w:tblGrid>
      <w:tr w:rsidR="00211387" w14:paraId="6CAB1549" w14:textId="77777777" w:rsidTr="001207E1">
        <w:tc>
          <w:tcPr>
            <w:tcW w:w="9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1E7977B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Quantitativo de perfis de investimento</w:t>
            </w:r>
          </w:p>
        </w:tc>
      </w:tr>
      <w:tr w:rsidR="00211387" w14:paraId="4824C7DC" w14:textId="77777777" w:rsidTr="001207E1">
        <w:tc>
          <w:tcPr>
            <w:tcW w:w="9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5C75EC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461416C4" w14:textId="77777777" w:rsidR="00211387" w:rsidRDefault="00211387">
      <w:pPr>
        <w:spacing w:line="210" w:lineRule="atLeast"/>
        <w:rPr>
          <w:color w:val="000000"/>
        </w:rPr>
      </w:pPr>
    </w:p>
    <w:p w14:paraId="0BBA40DC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12.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Modelagem do plano autorizado e aprovado pela PREVIC para entes federativos e benefícios de riscos.</w:t>
      </w:r>
    </w:p>
    <w:p w14:paraId="035701BB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12.1.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As informações relativas à modelagem do plano autorizado e aprovado pela PREVIC poderão ser apresentadas na forma de anexo ou descritas no quadro</w:t>
      </w:r>
    </w:p>
    <w:p w14:paraId="3BEA1330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12.2.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O regulamento do plano de benefícios autorizado e aprovado pela PREVIC será apresentado na forma de anexo.</w:t>
      </w:r>
    </w:p>
    <w:tbl>
      <w:tblPr>
        <w:tblW w:w="98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8"/>
      </w:tblGrid>
      <w:tr w:rsidR="00211387" w14:paraId="72AEE104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DEEF161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Informações acerca da modelagem do plano autorizado e aprovado pela PREVIC</w:t>
            </w:r>
          </w:p>
        </w:tc>
      </w:tr>
      <w:tr w:rsidR="00211387" w14:paraId="4E75D60F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FB3AEF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10ACA0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8BB731A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A3BABC0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E38AF9A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FB59265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3BDF273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90B03BC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69B3AF5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C31A5EA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7B6E4D7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19A1E201" w14:textId="64282411" w:rsidR="00211387" w:rsidRDefault="00211387">
      <w:pPr>
        <w:spacing w:line="210" w:lineRule="atLeast"/>
        <w:rPr>
          <w:color w:val="000000"/>
        </w:rPr>
      </w:pPr>
    </w:p>
    <w:p w14:paraId="7268110F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13.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Plano de custeio do plano de benefícios multipatrocinado, autorizado e aprovado pela PREVIC para entes federativos.</w:t>
      </w:r>
    </w:p>
    <w:p w14:paraId="1D635E58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13.1.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Apresentar na forma de anexo da proposta técnica.</w:t>
      </w:r>
    </w:p>
    <w:p w14:paraId="08270D0B" w14:textId="77777777" w:rsidR="00211387" w:rsidRDefault="00211387">
      <w:pPr>
        <w:spacing w:line="210" w:lineRule="atLeast"/>
        <w:rPr>
          <w:rFonts w:ascii="Arial" w:hAnsi="Arial"/>
          <w:color w:val="000000"/>
          <w:sz w:val="22"/>
          <w:szCs w:val="22"/>
        </w:rPr>
      </w:pPr>
    </w:p>
    <w:p w14:paraId="5D2C25E0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14.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Etapas para a implementação do plano.</w:t>
      </w:r>
    </w:p>
    <w:p w14:paraId="01B5FC23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14.1.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As etapas para a implementação do plano poderão ser apresentadas na forma de anexo ou descritas na forma de quadro.</w:t>
      </w:r>
    </w:p>
    <w:tbl>
      <w:tblPr>
        <w:tblW w:w="98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8"/>
      </w:tblGrid>
      <w:tr w:rsidR="00211387" w14:paraId="5268447B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D96848F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Etapas para a implementação do plano</w:t>
            </w:r>
          </w:p>
        </w:tc>
      </w:tr>
      <w:tr w:rsidR="00211387" w14:paraId="6153F525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180E0F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6E01418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D6F8A80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2129AB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2483E71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8904D2C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22ED357A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1294E69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28B1B164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3EF195A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6AC76BC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CF06707" w14:textId="77777777" w:rsidR="00211387" w:rsidRDefault="00211387">
      <w:pPr>
        <w:pStyle w:val="Textbody"/>
        <w:spacing w:after="0" w:line="210" w:lineRule="atLeast"/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</w:pPr>
    </w:p>
    <w:p w14:paraId="73AC3578" w14:textId="77777777" w:rsidR="00424E13" w:rsidRDefault="00424E13">
      <w:pPr>
        <w:pStyle w:val="Textbody"/>
        <w:spacing w:after="0" w:line="210" w:lineRule="atLeast"/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</w:pPr>
    </w:p>
    <w:p w14:paraId="5DAD6889" w14:textId="1ED5305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lastRenderedPageBreak/>
        <w:t>15.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Estratégias de divulgação e procedimentos de inscrição da Entidade Fechada de Previdência Complementar</w:t>
      </w:r>
      <w:r w:rsidR="00F5479B">
        <w:rPr>
          <w:rFonts w:ascii="Arial" w:hAnsi="Arial"/>
          <w:color w:val="000000"/>
          <w:sz w:val="22"/>
          <w:szCs w:val="22"/>
          <w:shd w:val="clear" w:color="auto" w:fill="auto"/>
        </w:rPr>
        <w:t>: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98"/>
        <w:gridCol w:w="2642"/>
      </w:tblGrid>
      <w:tr w:rsidR="00211387" w14:paraId="3907312B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090264F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Estratégias de divulgação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51A9D09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Divulgação (Sim ou Não)</w:t>
            </w:r>
          </w:p>
        </w:tc>
      </w:tr>
      <w:tr w:rsidR="00211387" w14:paraId="13D58A8C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F622B9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Página eletrônica de notícias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9F06D2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53A1E436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30D1D6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Cartazes digitais ou impressos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EC254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46E3330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BCD858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Informativos eletrônicos de imprensa </w:t>
            </w:r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(releases eletrônicos)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C44A96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0508ABF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AE71FB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Vídeos institucionais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579734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7B7CE00E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E78797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Relatórios anuais de gestão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49B3A0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388E87F5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AC7E9D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Publicações impressas (livros, revistas ou jornais)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81F485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586086C5" w14:textId="77777777"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0287C3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Portal de Serviços</w:t>
            </w:r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 xml:space="preserve"> (Online)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1F21CD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A1F107B" w14:textId="77777777" w:rsidR="00211387" w:rsidRDefault="00211387">
      <w:pPr>
        <w:spacing w:line="210" w:lineRule="atLeast"/>
        <w:rPr>
          <w:rFonts w:ascii="Arial" w:hAnsi="Arial"/>
          <w:b/>
          <w:bCs/>
          <w:color w:val="000000"/>
          <w:sz w:val="22"/>
          <w:szCs w:val="22"/>
        </w:rPr>
      </w:pPr>
    </w:p>
    <w:tbl>
      <w:tblPr>
        <w:tblW w:w="98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8"/>
      </w:tblGrid>
      <w:tr w:rsidR="00211387" w14:paraId="66FAD10C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4C7FB26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Procedimentos de inscrição</w:t>
            </w:r>
          </w:p>
        </w:tc>
      </w:tr>
      <w:tr w:rsidR="00211387" w14:paraId="057F9BC9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3296F2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2D596BC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27047574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11A9DBB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252210C9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26EAC09E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6EC3FD3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0592DA4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8389197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2D3643B8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5D0C76F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0B8812D0" w14:textId="77777777" w:rsidR="00211387" w:rsidRDefault="00211387">
      <w:pPr>
        <w:spacing w:line="210" w:lineRule="atLeast"/>
        <w:rPr>
          <w:rFonts w:ascii="Arial" w:hAnsi="Arial"/>
          <w:b/>
          <w:bCs/>
          <w:color w:val="000000"/>
          <w:sz w:val="22"/>
          <w:szCs w:val="22"/>
        </w:rPr>
      </w:pPr>
    </w:p>
    <w:p w14:paraId="7E467027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16.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Compatibilidade de sistemas entre o Patrocinador e a Entidade Fechada de Previdência Complementar.</w:t>
      </w:r>
    </w:p>
    <w:p w14:paraId="6F498A04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16.1.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Apresentar os formatos utilizados na estruturação dos dados, os sistemas informatizados e a forma de envio das informações à Entidade Fechada de Previdência Complementar.</w:t>
      </w:r>
    </w:p>
    <w:tbl>
      <w:tblPr>
        <w:tblW w:w="98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8"/>
      </w:tblGrid>
      <w:tr w:rsidR="00211387" w14:paraId="142FBC02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340B369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Compatibilidade de sistemas</w:t>
            </w:r>
          </w:p>
        </w:tc>
      </w:tr>
      <w:tr w:rsidR="00211387" w14:paraId="5AFB6B1C" w14:textId="77777777">
        <w:tc>
          <w:tcPr>
            <w:tcW w:w="9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4C4BC2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802F957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5244A5B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C457766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00264F0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6E71FB6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BB83865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5586C23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C392E7D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8B95EF5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A7CA60F" w14:textId="77777777" w:rsidR="00211387" w:rsidRDefault="00211387">
            <w:pPr>
              <w:pStyle w:val="Contedodatabela"/>
              <w:spacing w:line="21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7A48ECF5" w14:textId="77777777" w:rsidR="00211387" w:rsidRDefault="00211387">
      <w:pPr>
        <w:spacing w:line="210" w:lineRule="atLeast"/>
        <w:rPr>
          <w:color w:val="000000"/>
        </w:rPr>
      </w:pPr>
    </w:p>
    <w:p w14:paraId="5AB76066" w14:textId="7E3EE7A3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 xml:space="preserve">17.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Plano de educação financeira e previdenciária da Entidade Fechada de Previdência Complementar.</w:t>
      </w:r>
    </w:p>
    <w:p w14:paraId="47FA0A63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t>17.1.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 xml:space="preserve"> Informar os programas de educação oferecidos aos participantes do plano de benefícios.</w:t>
      </w:r>
    </w:p>
    <w:tbl>
      <w:tblPr>
        <w:tblW w:w="989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19"/>
        <w:gridCol w:w="2876"/>
      </w:tblGrid>
      <w:tr w:rsidR="00211387" w14:paraId="78E08659" w14:textId="77777777" w:rsidTr="00387FDB"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E6D4FEE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Plano de educação financeira e previdenciária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2A040BE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Informe somente uma opção</w:t>
            </w:r>
          </w:p>
        </w:tc>
      </w:tr>
      <w:tr w:rsidR="00211387" w14:paraId="66AE4FEC" w14:textId="77777777" w:rsidTr="00387FDB"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8EEF8E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Não possui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88F1B9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728A412E" w14:textId="77777777" w:rsidTr="00387FDB"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3D0B8B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Educação financeira e previdenciária não contínua (cartilhas, cursos e palestras esporádicas)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F0A22B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2CB211EE" w14:textId="77777777" w:rsidTr="00387FDB"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F381B0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Educação financeira e previdenciária contínua (consultorias e ciclos programados e educação continuada)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C32011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7C0C49EA" w14:textId="77777777" w:rsidTr="00387FDB"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66A490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Ambos (Educação financeira e previdenciária não contínua e não contínua)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C3FEA1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7E7C97A1" w14:textId="77777777" w:rsidR="00211387" w:rsidRDefault="00211387">
      <w:pPr>
        <w:pStyle w:val="Textbody"/>
        <w:spacing w:after="0" w:line="210" w:lineRule="atLeast"/>
        <w:rPr>
          <w:shd w:val="clear" w:color="auto" w:fill="auto"/>
        </w:rPr>
      </w:pPr>
    </w:p>
    <w:p w14:paraId="0CD204FC" w14:textId="77777777" w:rsidR="00211387" w:rsidRDefault="007B7AFB">
      <w:pPr>
        <w:pStyle w:val="Textbody"/>
        <w:spacing w:after="0" w:line="210" w:lineRule="atLeast"/>
        <w:rPr>
          <w:shd w:val="clear" w:color="auto" w:fill="auto"/>
        </w:rPr>
      </w:pPr>
      <w:r>
        <w:rPr>
          <w:rFonts w:ascii="Arial" w:hAnsi="Arial"/>
          <w:b/>
          <w:bCs/>
          <w:color w:val="000000"/>
          <w:sz w:val="22"/>
          <w:szCs w:val="22"/>
          <w:shd w:val="clear" w:color="auto" w:fill="auto"/>
        </w:rPr>
        <w:lastRenderedPageBreak/>
        <w:t xml:space="preserve">18. </w:t>
      </w:r>
      <w:r>
        <w:rPr>
          <w:rFonts w:ascii="Arial" w:hAnsi="Arial"/>
          <w:color w:val="000000"/>
          <w:sz w:val="22"/>
          <w:szCs w:val="22"/>
          <w:shd w:val="clear" w:color="auto" w:fill="auto"/>
        </w:rPr>
        <w:t>Manual ou Código de Ética e Conduta da Entidade Fechada de Previdência Complementar ou similar.</w:t>
      </w:r>
    </w:p>
    <w:tbl>
      <w:tblPr>
        <w:tblW w:w="9840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63"/>
        <w:gridCol w:w="2877"/>
      </w:tblGrid>
      <w:tr w:rsidR="00211387" w14:paraId="6909B13D" w14:textId="77777777"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015F702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Manual ou Código de Ética e Conduta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5B2022A" w14:textId="77777777" w:rsidR="00211387" w:rsidRDefault="007B7AFB">
            <w:pPr>
              <w:pStyle w:val="Contedodatabela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Informe somente uma opção</w:t>
            </w:r>
          </w:p>
        </w:tc>
      </w:tr>
      <w:tr w:rsidR="00211387" w14:paraId="44D562FF" w14:textId="77777777"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E162E7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Não possui Manual ou Código de Ética e Conduta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9C076A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096FC32A" w14:textId="77777777"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43A348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Possui Manual ou Código de Ética e Conduta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DBE868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11387" w14:paraId="14C548EF" w14:textId="77777777"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9ECC85" w14:textId="77777777" w:rsidR="00211387" w:rsidRDefault="007B7AFB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Possui Manual ou Código de Ética e Conduta e práticas e mecanismos de mitigação de conflito de interesses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18CEE1" w14:textId="77777777" w:rsidR="00211387" w:rsidRDefault="00211387">
            <w:pPr>
              <w:pStyle w:val="Contedodatabela"/>
              <w:spacing w:line="210" w:lineRule="atLeas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F8BBF54" w14:textId="77777777" w:rsidR="00211387" w:rsidRDefault="00211387">
      <w:pPr>
        <w:spacing w:line="210" w:lineRule="atLeast"/>
        <w:jc w:val="center"/>
        <w:rPr>
          <w:rFonts w:ascii="Arial" w:hAnsi="Arial"/>
          <w:color w:val="000000"/>
          <w:sz w:val="22"/>
          <w:szCs w:val="22"/>
        </w:rPr>
      </w:pPr>
    </w:p>
    <w:sectPr w:rsidR="00211387">
      <w:headerReference w:type="default" r:id="rId8"/>
      <w:pgSz w:w="11906" w:h="16838"/>
      <w:pgMar w:top="1761" w:right="1134" w:bottom="1134" w:left="1134" w:header="75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2EE4" w14:textId="77777777" w:rsidR="009F5072" w:rsidRDefault="009F5072">
      <w:r>
        <w:separator/>
      </w:r>
    </w:p>
  </w:endnote>
  <w:endnote w:type="continuationSeparator" w:id="0">
    <w:p w14:paraId="7DAFE9DE" w14:textId="77777777" w:rsidR="009F5072" w:rsidRDefault="009F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charset w:val="00"/>
    <w:family w:val="roman"/>
    <w:pitch w:val="variable"/>
  </w:font>
  <w:font w:name="LiberationSerif-Italic">
    <w:altName w:val="Cambria"/>
    <w:charset w:val="00"/>
    <w:family w:val="roman"/>
    <w:pitch w:val="variable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6D64" w14:textId="77777777" w:rsidR="009F5072" w:rsidRDefault="009F5072">
      <w:r>
        <w:separator/>
      </w:r>
    </w:p>
  </w:footnote>
  <w:footnote w:type="continuationSeparator" w:id="0">
    <w:p w14:paraId="4E8CF1C5" w14:textId="77777777" w:rsidR="009F5072" w:rsidRDefault="009F5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A5FF" w14:textId="77777777" w:rsidR="00211387" w:rsidRDefault="007B7AFB">
    <w:pPr>
      <w:pStyle w:val="Cabealho"/>
    </w:pPr>
    <w:r>
      <w:rPr>
        <w:noProof/>
      </w:rPr>
      <w:drawing>
        <wp:anchor distT="0" distB="0" distL="114300" distR="114300" simplePos="0" relativeHeight="24" behindDoc="1" locked="0" layoutInCell="0" allowOverlap="1" wp14:anchorId="64158B37" wp14:editId="298A9FE3">
          <wp:simplePos x="0" y="0"/>
          <wp:positionH relativeFrom="column">
            <wp:posOffset>1499235</wp:posOffset>
          </wp:positionH>
          <wp:positionV relativeFrom="paragraph">
            <wp:posOffset>9525</wp:posOffset>
          </wp:positionV>
          <wp:extent cx="2872105" cy="1044575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241"/>
                  <a:stretch>
                    <a:fillRect/>
                  </a:stretch>
                </pic:blipFill>
                <pic:spPr bwMode="auto">
                  <a:xfrm>
                    <a:off x="0" y="0"/>
                    <a:ext cx="2872105" cy="1044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2128B"/>
    <w:multiLevelType w:val="hybridMultilevel"/>
    <w:tmpl w:val="1D4C31B4"/>
    <w:lvl w:ilvl="0" w:tplc="5BA40D3A">
      <w:start w:val="1"/>
      <w:numFmt w:val="lowerRoman"/>
      <w:lvlText w:val="(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238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87"/>
    <w:rsid w:val="00047707"/>
    <w:rsid w:val="000629E8"/>
    <w:rsid w:val="000728FC"/>
    <w:rsid w:val="0007633F"/>
    <w:rsid w:val="000800FF"/>
    <w:rsid w:val="00084819"/>
    <w:rsid w:val="00091658"/>
    <w:rsid w:val="000B04CA"/>
    <w:rsid w:val="000B3666"/>
    <w:rsid w:val="000C454B"/>
    <w:rsid w:val="000D2FB0"/>
    <w:rsid w:val="000D3242"/>
    <w:rsid w:val="000D4982"/>
    <w:rsid w:val="000F2F4C"/>
    <w:rsid w:val="000F3BC9"/>
    <w:rsid w:val="0011528F"/>
    <w:rsid w:val="001207E1"/>
    <w:rsid w:val="00134A73"/>
    <w:rsid w:val="00136473"/>
    <w:rsid w:val="001572A8"/>
    <w:rsid w:val="001716BC"/>
    <w:rsid w:val="00187BFF"/>
    <w:rsid w:val="00196558"/>
    <w:rsid w:val="001978BA"/>
    <w:rsid w:val="00197EB5"/>
    <w:rsid w:val="001D4082"/>
    <w:rsid w:val="001F4BFD"/>
    <w:rsid w:val="00211387"/>
    <w:rsid w:val="00220AC6"/>
    <w:rsid w:val="0022417C"/>
    <w:rsid w:val="00233C02"/>
    <w:rsid w:val="00243FB0"/>
    <w:rsid w:val="00252E31"/>
    <w:rsid w:val="002571B9"/>
    <w:rsid w:val="0027768A"/>
    <w:rsid w:val="00294890"/>
    <w:rsid w:val="002E789D"/>
    <w:rsid w:val="002F7879"/>
    <w:rsid w:val="00307D3E"/>
    <w:rsid w:val="00324C80"/>
    <w:rsid w:val="00387FDB"/>
    <w:rsid w:val="003B37F9"/>
    <w:rsid w:val="003C6BE9"/>
    <w:rsid w:val="003D72E0"/>
    <w:rsid w:val="003E5F50"/>
    <w:rsid w:val="004069DD"/>
    <w:rsid w:val="00424E13"/>
    <w:rsid w:val="00475D1E"/>
    <w:rsid w:val="004845CC"/>
    <w:rsid w:val="004B147C"/>
    <w:rsid w:val="004F1A77"/>
    <w:rsid w:val="00507FAF"/>
    <w:rsid w:val="00515D9A"/>
    <w:rsid w:val="00526871"/>
    <w:rsid w:val="0055169E"/>
    <w:rsid w:val="005518FB"/>
    <w:rsid w:val="00554732"/>
    <w:rsid w:val="00566801"/>
    <w:rsid w:val="00572033"/>
    <w:rsid w:val="005811A6"/>
    <w:rsid w:val="00584108"/>
    <w:rsid w:val="005A0CE0"/>
    <w:rsid w:val="005B4311"/>
    <w:rsid w:val="005D5509"/>
    <w:rsid w:val="005F5DDF"/>
    <w:rsid w:val="006054EA"/>
    <w:rsid w:val="006132EE"/>
    <w:rsid w:val="00613EE3"/>
    <w:rsid w:val="006313B6"/>
    <w:rsid w:val="0064777E"/>
    <w:rsid w:val="0068010C"/>
    <w:rsid w:val="0069272A"/>
    <w:rsid w:val="006B182F"/>
    <w:rsid w:val="006B201E"/>
    <w:rsid w:val="006B235C"/>
    <w:rsid w:val="006D4946"/>
    <w:rsid w:val="006E1B49"/>
    <w:rsid w:val="007149B7"/>
    <w:rsid w:val="00721850"/>
    <w:rsid w:val="00722623"/>
    <w:rsid w:val="00730073"/>
    <w:rsid w:val="00755A9D"/>
    <w:rsid w:val="007645D9"/>
    <w:rsid w:val="00796A1B"/>
    <w:rsid w:val="007B495C"/>
    <w:rsid w:val="007B7AFB"/>
    <w:rsid w:val="007E6EA0"/>
    <w:rsid w:val="007F01B2"/>
    <w:rsid w:val="00850388"/>
    <w:rsid w:val="0086504D"/>
    <w:rsid w:val="008730E0"/>
    <w:rsid w:val="00874BE5"/>
    <w:rsid w:val="008810BB"/>
    <w:rsid w:val="00897F81"/>
    <w:rsid w:val="008F3FF0"/>
    <w:rsid w:val="00910CE1"/>
    <w:rsid w:val="00922439"/>
    <w:rsid w:val="009407FF"/>
    <w:rsid w:val="0097243D"/>
    <w:rsid w:val="0099648E"/>
    <w:rsid w:val="009A4338"/>
    <w:rsid w:val="009A785D"/>
    <w:rsid w:val="009B721E"/>
    <w:rsid w:val="009E605F"/>
    <w:rsid w:val="009F5072"/>
    <w:rsid w:val="00A007D3"/>
    <w:rsid w:val="00A15B98"/>
    <w:rsid w:val="00A3643B"/>
    <w:rsid w:val="00A43E09"/>
    <w:rsid w:val="00A50B58"/>
    <w:rsid w:val="00A70526"/>
    <w:rsid w:val="00A86283"/>
    <w:rsid w:val="00A92FA6"/>
    <w:rsid w:val="00AC35D8"/>
    <w:rsid w:val="00AC6F03"/>
    <w:rsid w:val="00B2161D"/>
    <w:rsid w:val="00B241CD"/>
    <w:rsid w:val="00B433F2"/>
    <w:rsid w:val="00B4450C"/>
    <w:rsid w:val="00B6366B"/>
    <w:rsid w:val="00B86DD9"/>
    <w:rsid w:val="00BB02B1"/>
    <w:rsid w:val="00BC53A2"/>
    <w:rsid w:val="00BD081D"/>
    <w:rsid w:val="00BF5211"/>
    <w:rsid w:val="00C1155F"/>
    <w:rsid w:val="00C31935"/>
    <w:rsid w:val="00C36D1F"/>
    <w:rsid w:val="00C50A04"/>
    <w:rsid w:val="00C63D8E"/>
    <w:rsid w:val="00C7395C"/>
    <w:rsid w:val="00C75F81"/>
    <w:rsid w:val="00C85D15"/>
    <w:rsid w:val="00C901B9"/>
    <w:rsid w:val="00C90D17"/>
    <w:rsid w:val="00CA0016"/>
    <w:rsid w:val="00CA2C35"/>
    <w:rsid w:val="00CB05ED"/>
    <w:rsid w:val="00CB4D7B"/>
    <w:rsid w:val="00CB78B1"/>
    <w:rsid w:val="00CC1142"/>
    <w:rsid w:val="00CD6613"/>
    <w:rsid w:val="00D00CFC"/>
    <w:rsid w:val="00D46FB9"/>
    <w:rsid w:val="00D5383D"/>
    <w:rsid w:val="00D71F62"/>
    <w:rsid w:val="00DB0EE9"/>
    <w:rsid w:val="00DC015F"/>
    <w:rsid w:val="00DC0DC9"/>
    <w:rsid w:val="00E21B13"/>
    <w:rsid w:val="00E2728F"/>
    <w:rsid w:val="00E37CF7"/>
    <w:rsid w:val="00E646B7"/>
    <w:rsid w:val="00E76E3B"/>
    <w:rsid w:val="00E97D3F"/>
    <w:rsid w:val="00EA0ECE"/>
    <w:rsid w:val="00EB1391"/>
    <w:rsid w:val="00EC0497"/>
    <w:rsid w:val="00EE64B9"/>
    <w:rsid w:val="00EE7E2B"/>
    <w:rsid w:val="00F5479B"/>
    <w:rsid w:val="00F83127"/>
    <w:rsid w:val="00FE38AB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0E88"/>
  <w15:docId w15:val="{E51360FC-697B-4FEA-8756-929BB000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92"/>
    <w:pPr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EF0FC5"/>
    <w:rPr>
      <w:color w:val="0563C1" w:themeColor="hyperlink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9049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90492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07A35"/>
    <w:rPr>
      <w:rFonts w:ascii="Segoe UI" w:hAnsi="Segoe UI" w:cs="Mangal"/>
      <w:sz w:val="18"/>
      <w:szCs w:val="16"/>
    </w:rPr>
  </w:style>
  <w:style w:type="character" w:customStyle="1" w:styleId="fontstyle01">
    <w:name w:val="fontstyle01"/>
    <w:basedOn w:val="Fontepargpadro"/>
    <w:qFormat/>
    <w:rsid w:val="00525719"/>
    <w:rPr>
      <w:rFonts w:ascii="Verdana" w:hAnsi="Verdan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525719"/>
    <w:rPr>
      <w:rFonts w:ascii="Verdana-Bold" w:hAnsi="Verdana-Bold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sid w:val="00FB770D"/>
    <w:rPr>
      <w:rFonts w:ascii="LiberationSerif-Italic" w:hAnsi="LiberationSerif-Italic"/>
      <w:b w:val="0"/>
      <w:bCs w:val="0"/>
      <w:i/>
      <w:iCs/>
      <w:color w:val="000000"/>
      <w:sz w:val="18"/>
      <w:szCs w:val="18"/>
    </w:rPr>
  </w:style>
  <w:style w:type="character" w:customStyle="1" w:styleId="Cdigofonte">
    <w:name w:val="Código fonte"/>
    <w:qFormat/>
    <w:rPr>
      <w:rFonts w:ascii="Liberation Mono" w:eastAsia="NSimSun" w:hAnsi="Liberation Mono" w:cs="Liberation Mono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RodapChar">
    <w:name w:val="Rodapé Char"/>
    <w:basedOn w:val="Fontepargpadro"/>
    <w:link w:val="Rodap"/>
    <w:uiPriority w:val="99"/>
    <w:qFormat/>
    <w:rsid w:val="000B5B42"/>
    <w:rPr>
      <w:rFonts w:cs="Mangal"/>
      <w:szCs w:val="21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sid w:val="00F90492"/>
  </w:style>
  <w:style w:type="paragraph" w:styleId="Legenda">
    <w:name w:val="caption"/>
    <w:basedOn w:val="Standard"/>
    <w:qFormat/>
    <w:rsid w:val="00F904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F90492"/>
    <w:pPr>
      <w:suppressLineNumbers/>
    </w:pPr>
  </w:style>
  <w:style w:type="paragraph" w:customStyle="1" w:styleId="Ttulo1">
    <w:name w:val="Título1"/>
    <w:basedOn w:val="Standard"/>
    <w:next w:val="Textbody"/>
    <w:qFormat/>
    <w:rsid w:val="00F904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F90492"/>
    <w:pPr>
      <w:textAlignment w:val="baseline"/>
    </w:pPr>
  </w:style>
  <w:style w:type="paragraph" w:customStyle="1" w:styleId="Textbody">
    <w:name w:val="Text body"/>
    <w:basedOn w:val="Standard"/>
    <w:qFormat/>
    <w:rsid w:val="00F90492"/>
    <w:pPr>
      <w:spacing w:after="140" w:line="276" w:lineRule="auto"/>
      <w:jc w:val="both"/>
    </w:pPr>
    <w:rPr>
      <w:shd w:val="clear" w:color="auto" w:fill="000000"/>
    </w:rPr>
  </w:style>
  <w:style w:type="paragraph" w:customStyle="1" w:styleId="Contedodatabela">
    <w:name w:val="Conteúdo da tabela"/>
    <w:basedOn w:val="Standard"/>
    <w:qFormat/>
    <w:rsid w:val="00F90492"/>
    <w:pPr>
      <w:widowControl w:val="0"/>
      <w:suppressLineNumbers/>
      <w:snapToGrid w:val="0"/>
      <w:jc w:val="center"/>
      <w:textAlignment w:val="center"/>
    </w:pPr>
  </w:style>
  <w:style w:type="paragraph" w:customStyle="1" w:styleId="Ttulodetabela">
    <w:name w:val="Título de tabela"/>
    <w:basedOn w:val="Contedodatabela"/>
    <w:qFormat/>
    <w:rsid w:val="00F90492"/>
    <w:rPr>
      <w:b/>
      <w:bCs/>
    </w:rPr>
  </w:style>
  <w:style w:type="paragraph" w:customStyle="1" w:styleId="CabealhoeRodap">
    <w:name w:val="Cabeçalho e Rodapé"/>
    <w:basedOn w:val="Standard"/>
    <w:qFormat/>
    <w:rsid w:val="00F90492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  <w:rsid w:val="00F90492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90492"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07A35"/>
    <w:rPr>
      <w:rFonts w:ascii="Segoe UI" w:hAnsi="Segoe UI" w:cs="Mangal"/>
      <w:sz w:val="18"/>
      <w:szCs w:val="16"/>
    </w:rPr>
  </w:style>
  <w:style w:type="paragraph" w:styleId="Rodap">
    <w:name w:val="footer"/>
    <w:basedOn w:val="Normal"/>
    <w:link w:val="RodapChar"/>
    <w:uiPriority w:val="99"/>
    <w:unhideWhenUsed/>
    <w:rsid w:val="000B5B4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F3BC9"/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0F3BC9"/>
    <w:pPr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0F3BC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C55D-273C-4B30-BCFE-D2DC0AA0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1990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Comissão</dc:creator>
  <dc:description/>
  <cp:lastModifiedBy>CGMA PMA</cp:lastModifiedBy>
  <cp:revision>3</cp:revision>
  <cp:lastPrinted>2022-05-09T17:23:00Z</cp:lastPrinted>
  <dcterms:created xsi:type="dcterms:W3CDTF">2022-05-09T17:25:00Z</dcterms:created>
  <dcterms:modified xsi:type="dcterms:W3CDTF">2022-05-09T17:26:00Z</dcterms:modified>
  <dc:language>pt-BR</dc:language>
</cp:coreProperties>
</file>