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B486" w14:textId="35C8C0DF" w:rsidR="00A13848" w:rsidRDefault="00ED5869" w:rsidP="009A6F6D">
      <w:pPr>
        <w:pStyle w:val="western"/>
        <w:spacing w:before="280"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CONVÊNIO DE COOPERAÇÃO TÉCNICA N.º 00</w:t>
      </w:r>
      <w:r w:rsidR="009A6F6D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/2022.</w:t>
      </w:r>
      <w:bookmarkStart w:id="0" w:name="_Hlk101353657"/>
      <w:bookmarkEnd w:id="0"/>
    </w:p>
    <w:p w14:paraId="788C2170" w14:textId="77777777" w:rsidR="00A13848" w:rsidRDefault="00A13848">
      <w:pPr>
        <w:pStyle w:val="Recuodecorpodetexto"/>
        <w:ind w:left="4253"/>
        <w:rPr>
          <w:b w:val="0"/>
          <w:szCs w:val="24"/>
        </w:rPr>
      </w:pPr>
    </w:p>
    <w:p w14:paraId="32EBBEB3" w14:textId="77777777" w:rsidR="00A13848" w:rsidRDefault="00ED5869">
      <w:pPr>
        <w:pStyle w:val="Recuodecorpodetexto"/>
        <w:ind w:left="3540"/>
        <w:rPr>
          <w:szCs w:val="24"/>
        </w:rPr>
      </w:pPr>
      <w:r>
        <w:rPr>
          <w:b w:val="0"/>
          <w:szCs w:val="24"/>
        </w:rPr>
        <w:t xml:space="preserve">CONVÊNIO DE CESSÃO QUE ENTRE SI CELEBRAM O MUNICÍPIO DE ARACRUZ E O MUNICÍPIO DE FUNDÃO, DO ESTADO DO ESPÍRITO SANTO, NA QUALIDADE DE CEDENTE E CESSIONÁRIA, RESPECTIVAMENTE, PARA FINS EXPRESSOS NAS </w:t>
      </w:r>
      <w:r>
        <w:rPr>
          <w:b w:val="0"/>
          <w:szCs w:val="24"/>
        </w:rPr>
        <w:t>CLÁUSULAS QUE O INTEGRAM.</w:t>
      </w:r>
    </w:p>
    <w:p w14:paraId="18FFA588" w14:textId="77777777" w:rsidR="00A13848" w:rsidRDefault="00A13848">
      <w:pPr>
        <w:pStyle w:val="Corpodetexto"/>
        <w:rPr>
          <w:b/>
          <w:szCs w:val="24"/>
        </w:rPr>
      </w:pPr>
    </w:p>
    <w:p w14:paraId="227E1758" w14:textId="77777777" w:rsidR="00A13848" w:rsidRDefault="00ED5869">
      <w:pPr>
        <w:pStyle w:val="Corpodetexto"/>
        <w:spacing w:line="276" w:lineRule="auto"/>
        <w:rPr>
          <w:szCs w:val="24"/>
        </w:rPr>
      </w:pPr>
      <w:r>
        <w:rPr>
          <w:szCs w:val="24"/>
        </w:rPr>
        <w:t xml:space="preserve">O </w:t>
      </w:r>
      <w:r>
        <w:rPr>
          <w:b/>
          <w:szCs w:val="24"/>
        </w:rPr>
        <w:t>MUNICÍPIO DE ARACRUZ</w:t>
      </w:r>
      <w:r>
        <w:rPr>
          <w:szCs w:val="24"/>
        </w:rPr>
        <w:t xml:space="preserve"> pessoa jurídica de direito público interno, inscrito no CNPJ/MF sob o n.º 27.142.702/0001-66, com sede na Av. </w:t>
      </w:r>
      <w:proofErr w:type="spellStart"/>
      <w:r>
        <w:rPr>
          <w:szCs w:val="24"/>
        </w:rPr>
        <w:t>Morobá</w:t>
      </w:r>
      <w:proofErr w:type="spellEnd"/>
      <w:r>
        <w:rPr>
          <w:szCs w:val="24"/>
        </w:rPr>
        <w:t xml:space="preserve">, n.º 20, Bairro </w:t>
      </w:r>
      <w:proofErr w:type="spellStart"/>
      <w:r>
        <w:rPr>
          <w:szCs w:val="24"/>
        </w:rPr>
        <w:t>Morobá</w:t>
      </w:r>
      <w:proofErr w:type="spellEnd"/>
      <w:r>
        <w:rPr>
          <w:szCs w:val="24"/>
        </w:rPr>
        <w:t>,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Aracruz-ES, doravante denominado </w:t>
      </w:r>
      <w:r>
        <w:rPr>
          <w:b/>
          <w:iCs/>
          <w:szCs w:val="24"/>
        </w:rPr>
        <w:t>CEDENTE</w:t>
      </w:r>
      <w:r>
        <w:rPr>
          <w:szCs w:val="24"/>
        </w:rPr>
        <w:t xml:space="preserve">, neste ato representado </w:t>
      </w:r>
      <w:r>
        <w:rPr>
          <w:szCs w:val="24"/>
        </w:rPr>
        <w:t xml:space="preserve">pelo seu Prefeito, Sr. </w:t>
      </w:r>
      <w:r>
        <w:rPr>
          <w:b/>
          <w:bCs/>
          <w:szCs w:val="24"/>
        </w:rPr>
        <w:t>LUIZ CARLOS COUTINHO</w:t>
      </w:r>
      <w:r>
        <w:rPr>
          <w:szCs w:val="24"/>
        </w:rPr>
        <w:t xml:space="preserve">, portador da carteira de identidade n.º 169.271 – SPTC/ES, e inscrito no CPF sob o n.º 303.015.997-34 e o </w:t>
      </w:r>
      <w:r>
        <w:rPr>
          <w:b/>
          <w:szCs w:val="24"/>
        </w:rPr>
        <w:t>MUNICÍPIO DE FUNDÃO</w:t>
      </w:r>
      <w:r>
        <w:rPr>
          <w:szCs w:val="24"/>
        </w:rPr>
        <w:t xml:space="preserve">, pessoa jurídica de direito público interno, inscrito no CNPJ/MF sob o n.º </w:t>
      </w:r>
      <w:r>
        <w:rPr>
          <w:rFonts w:cs="Arial"/>
          <w:szCs w:val="24"/>
        </w:rPr>
        <w:t>27.165.182/</w:t>
      </w:r>
      <w:r>
        <w:rPr>
          <w:rFonts w:cs="Arial"/>
          <w:szCs w:val="24"/>
        </w:rPr>
        <w:t>0001-07</w:t>
      </w:r>
      <w:r>
        <w:rPr>
          <w:szCs w:val="24"/>
        </w:rPr>
        <w:t xml:space="preserve">, doravante denominado </w:t>
      </w:r>
      <w:r>
        <w:rPr>
          <w:b/>
          <w:szCs w:val="24"/>
        </w:rPr>
        <w:t>CESSIONÁRIO</w:t>
      </w:r>
      <w:r>
        <w:rPr>
          <w:szCs w:val="24"/>
        </w:rPr>
        <w:t xml:space="preserve">, neste ato representado pelo seu prefeito, Sr. </w:t>
      </w:r>
      <w:r>
        <w:rPr>
          <w:b/>
          <w:bCs/>
          <w:szCs w:val="24"/>
        </w:rPr>
        <w:t>GILMAR DE SOUZA BORGES</w:t>
      </w:r>
      <w:r>
        <w:rPr>
          <w:b/>
          <w:szCs w:val="24"/>
        </w:rPr>
        <w:t xml:space="preserve">, </w:t>
      </w:r>
      <w:r>
        <w:rPr>
          <w:szCs w:val="24"/>
        </w:rPr>
        <w:t>brasileiro, casado, portador da Carteira de Identidade n.º 245.929, expedida pela SSP/ES, inscrito no CPF sob o n.º 478.601.037-53, residente n</w:t>
      </w:r>
      <w:r>
        <w:rPr>
          <w:szCs w:val="24"/>
        </w:rPr>
        <w:t>este Estado, em conformidade com o previsto no artigo 55, da Lei N.º 2.898/2006, de acordo com os termos do Processo Eletrônico n.º</w:t>
      </w:r>
      <w:r>
        <w:rPr>
          <w:b/>
          <w:bCs/>
          <w:szCs w:val="24"/>
        </w:rPr>
        <w:t xml:space="preserve"> 10.783/2022</w:t>
      </w:r>
      <w:r>
        <w:rPr>
          <w:szCs w:val="24"/>
        </w:rPr>
        <w:t>, ajustam e firmam o presente Convênio com as cláusulas e condições seguintes.</w:t>
      </w:r>
    </w:p>
    <w:p w14:paraId="5A5242A4" w14:textId="77777777" w:rsidR="00A13848" w:rsidRDefault="00A13848">
      <w:pPr>
        <w:spacing w:line="276" w:lineRule="auto"/>
        <w:jc w:val="both"/>
        <w:rPr>
          <w:b/>
          <w:szCs w:val="24"/>
        </w:rPr>
      </w:pPr>
    </w:p>
    <w:p w14:paraId="20D365D9" w14:textId="77777777" w:rsidR="00A13848" w:rsidRDefault="00ED5869">
      <w:pPr>
        <w:jc w:val="both"/>
        <w:rPr>
          <w:szCs w:val="24"/>
        </w:rPr>
      </w:pPr>
      <w:r>
        <w:rPr>
          <w:b/>
          <w:szCs w:val="24"/>
        </w:rPr>
        <w:t>CLÁUSULA PRIMEIRA – DO OBJETO</w:t>
      </w:r>
    </w:p>
    <w:p w14:paraId="68F6E842" w14:textId="77777777" w:rsidR="00A13848" w:rsidRDefault="00A13848">
      <w:pPr>
        <w:jc w:val="both"/>
        <w:rPr>
          <w:b/>
          <w:szCs w:val="24"/>
        </w:rPr>
      </w:pPr>
    </w:p>
    <w:p w14:paraId="63390F2E" w14:textId="77777777" w:rsidR="00A13848" w:rsidRDefault="00ED5869">
      <w:pPr>
        <w:jc w:val="both"/>
        <w:rPr>
          <w:szCs w:val="24"/>
        </w:rPr>
      </w:pPr>
      <w:r>
        <w:rPr>
          <w:szCs w:val="24"/>
        </w:rPr>
        <w:t xml:space="preserve">1 </w:t>
      </w:r>
      <w:r>
        <w:rPr>
          <w:szCs w:val="24"/>
        </w:rPr>
        <w:t>- O objeto do presente Convênio é a cessão do servidor RAYEVERTON RAMPINELI APRIGIO, matrícula 26.956, ocupante do cargo efetivo de Agente Administrativo I, para atuar nesse município.</w:t>
      </w:r>
      <w:bookmarkStart w:id="1" w:name="_Hlk101353385"/>
      <w:bookmarkEnd w:id="1"/>
    </w:p>
    <w:p w14:paraId="1F08446F" w14:textId="77777777" w:rsidR="00A13848" w:rsidRDefault="00A13848">
      <w:pPr>
        <w:jc w:val="both"/>
        <w:rPr>
          <w:b/>
          <w:szCs w:val="24"/>
        </w:rPr>
      </w:pPr>
    </w:p>
    <w:p w14:paraId="1B361F4F" w14:textId="77777777" w:rsidR="00A13848" w:rsidRDefault="00ED5869">
      <w:pPr>
        <w:widowControl w:val="0"/>
        <w:jc w:val="both"/>
        <w:rPr>
          <w:szCs w:val="24"/>
        </w:rPr>
      </w:pPr>
      <w:r>
        <w:rPr>
          <w:b/>
          <w:szCs w:val="24"/>
        </w:rPr>
        <w:t>CLÁUSULA SEGUNDA – DA FREQUÊNCIA</w:t>
      </w:r>
    </w:p>
    <w:p w14:paraId="065BCA08" w14:textId="77777777" w:rsidR="00A13848" w:rsidRDefault="00A13848">
      <w:pPr>
        <w:widowControl w:val="0"/>
        <w:jc w:val="both"/>
        <w:rPr>
          <w:b/>
          <w:szCs w:val="24"/>
        </w:rPr>
      </w:pPr>
    </w:p>
    <w:p w14:paraId="0A624E74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 xml:space="preserve">2.1 - Para efeito de comprovação de </w:t>
      </w:r>
      <w:r>
        <w:rPr>
          <w:szCs w:val="24"/>
        </w:rPr>
        <w:t>comparecimento ao serviço, o CESSIONÁRIO atestará e comunicará ao CEDENTE mensalmente, até o décimo quinto dia do mês subsequente ao vencido, o boletim de frequência do servidor cedido, bem como qualquer ocorrência funcional das formalidades havidas, no de</w:t>
      </w:r>
      <w:r>
        <w:rPr>
          <w:szCs w:val="24"/>
        </w:rPr>
        <w:t>curso de prazo do presente convênio.</w:t>
      </w:r>
    </w:p>
    <w:p w14:paraId="78687ECB" w14:textId="77777777" w:rsidR="00A13848" w:rsidRDefault="00A13848">
      <w:pPr>
        <w:widowControl w:val="0"/>
        <w:jc w:val="both"/>
        <w:rPr>
          <w:szCs w:val="24"/>
        </w:rPr>
      </w:pPr>
    </w:p>
    <w:p w14:paraId="5BD53CF6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2.2 – Comunicar anualmente, a programação e gozo de férias do servidor cedido, de maneira a propiciar os devidos registros relativos à vida funcional do servidor.</w:t>
      </w:r>
    </w:p>
    <w:p w14:paraId="1E909617" w14:textId="77777777" w:rsidR="00A13848" w:rsidRDefault="00A13848">
      <w:pPr>
        <w:widowControl w:val="0"/>
        <w:jc w:val="both"/>
        <w:rPr>
          <w:b/>
          <w:szCs w:val="24"/>
        </w:rPr>
      </w:pPr>
    </w:p>
    <w:p w14:paraId="2BDAB956" w14:textId="77777777" w:rsidR="00A13848" w:rsidRDefault="00ED5869">
      <w:pPr>
        <w:widowControl w:val="0"/>
        <w:jc w:val="both"/>
        <w:rPr>
          <w:szCs w:val="24"/>
        </w:rPr>
      </w:pPr>
      <w:r>
        <w:rPr>
          <w:b/>
          <w:szCs w:val="24"/>
        </w:rPr>
        <w:t>CLÁUSULA TERCEIRA – DA VIGÊNCIA</w:t>
      </w:r>
    </w:p>
    <w:p w14:paraId="0104EEF0" w14:textId="77777777" w:rsidR="00A13848" w:rsidRDefault="00A13848">
      <w:pPr>
        <w:widowControl w:val="0"/>
        <w:jc w:val="both"/>
        <w:rPr>
          <w:b/>
          <w:szCs w:val="24"/>
        </w:rPr>
      </w:pPr>
    </w:p>
    <w:p w14:paraId="354F26BC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3.1 - O presente Term</w:t>
      </w:r>
      <w:r>
        <w:rPr>
          <w:szCs w:val="24"/>
        </w:rPr>
        <w:t xml:space="preserve">o terá </w:t>
      </w:r>
      <w:bookmarkStart w:id="2" w:name="_Hlk101353852"/>
      <w:r>
        <w:rPr>
          <w:szCs w:val="24"/>
        </w:rPr>
        <w:t xml:space="preserve">vigência a partir de </w:t>
      </w:r>
      <w:r>
        <w:rPr>
          <w:b/>
          <w:bCs/>
          <w:szCs w:val="24"/>
        </w:rPr>
        <w:t>20/06/2022</w:t>
      </w:r>
      <w:r>
        <w:rPr>
          <w:szCs w:val="24"/>
        </w:rPr>
        <w:t xml:space="preserve"> até</w:t>
      </w:r>
      <w:r>
        <w:rPr>
          <w:b/>
          <w:bCs/>
          <w:szCs w:val="24"/>
        </w:rPr>
        <w:t xml:space="preserve"> 31/12/2024</w:t>
      </w:r>
      <w:bookmarkEnd w:id="2"/>
      <w:r>
        <w:rPr>
          <w:szCs w:val="24"/>
        </w:rPr>
        <w:t xml:space="preserve">, devendo ser publicado no Diário Oficial dos Municípios - AMUNES pelo </w:t>
      </w:r>
      <w:r>
        <w:rPr>
          <w:b/>
          <w:szCs w:val="24"/>
        </w:rPr>
        <w:t>CEDENTE</w:t>
      </w:r>
      <w:r>
        <w:rPr>
          <w:szCs w:val="24"/>
        </w:rPr>
        <w:t>.</w:t>
      </w:r>
    </w:p>
    <w:p w14:paraId="388DC0F5" w14:textId="77777777" w:rsidR="00A13848" w:rsidRDefault="00A13848">
      <w:pPr>
        <w:widowControl w:val="0"/>
        <w:jc w:val="both"/>
        <w:rPr>
          <w:szCs w:val="24"/>
        </w:rPr>
      </w:pPr>
    </w:p>
    <w:p w14:paraId="313040FF" w14:textId="719BFF3A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3.2 - O presente instrumento</w:t>
      </w:r>
      <w:r>
        <w:rPr>
          <w:b/>
          <w:szCs w:val="24"/>
        </w:rPr>
        <w:t xml:space="preserve"> </w:t>
      </w:r>
      <w:r>
        <w:rPr>
          <w:szCs w:val="24"/>
        </w:rPr>
        <w:t xml:space="preserve">poderá ser prorrogado ou alterado mediante Termo Aditivo, </w:t>
      </w:r>
      <w:r>
        <w:rPr>
          <w:szCs w:val="24"/>
        </w:rPr>
        <w:lastRenderedPageBreak/>
        <w:t>tendo em vista a conveniência e int</w:t>
      </w:r>
      <w:r>
        <w:rPr>
          <w:szCs w:val="24"/>
        </w:rPr>
        <w:t>eresse dos participantes.</w:t>
      </w:r>
    </w:p>
    <w:p w14:paraId="089B5A92" w14:textId="77777777" w:rsidR="009A6F6D" w:rsidRDefault="009A6F6D">
      <w:pPr>
        <w:widowControl w:val="0"/>
        <w:jc w:val="both"/>
        <w:rPr>
          <w:szCs w:val="24"/>
        </w:rPr>
      </w:pPr>
    </w:p>
    <w:p w14:paraId="233A4B75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3.3 – O CESSIONÁRIO deverá solicitar a prorrogação no prazo de 60 (sessenta) dias anteriores ao término da vigência do Termo de Cessão.</w:t>
      </w:r>
    </w:p>
    <w:p w14:paraId="0E6D92A9" w14:textId="77777777" w:rsidR="00A13848" w:rsidRDefault="00A13848">
      <w:pPr>
        <w:widowControl w:val="0"/>
        <w:jc w:val="both"/>
        <w:rPr>
          <w:szCs w:val="24"/>
        </w:rPr>
      </w:pPr>
    </w:p>
    <w:p w14:paraId="1CA017FE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 xml:space="preserve">3.4 – O CEDENTE deverá manifestar-se no prazo de 15 (quinze) dias a partir do </w:t>
      </w:r>
      <w:r>
        <w:rPr>
          <w:szCs w:val="24"/>
        </w:rPr>
        <w:t>recebimento da solicitação se concorda com a prorrogação da cessão.</w:t>
      </w:r>
    </w:p>
    <w:p w14:paraId="44C52066" w14:textId="77777777" w:rsidR="00A13848" w:rsidRDefault="00A13848">
      <w:pPr>
        <w:widowControl w:val="0"/>
        <w:jc w:val="both"/>
        <w:rPr>
          <w:szCs w:val="24"/>
        </w:rPr>
      </w:pPr>
    </w:p>
    <w:p w14:paraId="5978BA93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3.5 - O CESSIONÁRIO deverá comunicar ao servidor cedido, no prazo máximo de 15 (quinze) dias antes do término da cessão, que este deverá retornar a sua unidade administrativa de origem, n</w:t>
      </w:r>
      <w:r>
        <w:rPr>
          <w:szCs w:val="24"/>
        </w:rPr>
        <w:t xml:space="preserve">o primeiro dia útil após prazo final da cessão, devendo encaminhar cópia da comunicação, devidamente </w:t>
      </w:r>
      <w:proofErr w:type="spellStart"/>
      <w:r>
        <w:rPr>
          <w:szCs w:val="24"/>
        </w:rPr>
        <w:t>recibada</w:t>
      </w:r>
      <w:proofErr w:type="spellEnd"/>
      <w:r>
        <w:rPr>
          <w:szCs w:val="24"/>
        </w:rPr>
        <w:t xml:space="preserve"> pelo servidor cedido, ao CEDENTE, no prazo de 10 (dez) dias após a notificação.</w:t>
      </w:r>
    </w:p>
    <w:p w14:paraId="079A8B39" w14:textId="77777777" w:rsidR="00A13848" w:rsidRDefault="00A13848">
      <w:pPr>
        <w:widowControl w:val="0"/>
        <w:jc w:val="both"/>
        <w:rPr>
          <w:szCs w:val="24"/>
        </w:rPr>
      </w:pPr>
    </w:p>
    <w:p w14:paraId="4EDBB9CF" w14:textId="77777777" w:rsidR="00A13848" w:rsidRDefault="00ED5869">
      <w:pPr>
        <w:widowControl w:val="0"/>
        <w:jc w:val="both"/>
        <w:rPr>
          <w:szCs w:val="24"/>
        </w:rPr>
      </w:pPr>
      <w:r>
        <w:rPr>
          <w:b/>
          <w:szCs w:val="24"/>
        </w:rPr>
        <w:t>CLÁUSULA QUARTA – DO PAGAMENTO</w:t>
      </w:r>
    </w:p>
    <w:p w14:paraId="5E742B90" w14:textId="77777777" w:rsidR="00A13848" w:rsidRDefault="00A13848">
      <w:pPr>
        <w:widowControl w:val="0"/>
        <w:jc w:val="both"/>
        <w:rPr>
          <w:b/>
          <w:szCs w:val="24"/>
        </w:rPr>
      </w:pPr>
    </w:p>
    <w:p w14:paraId="29B82CB3" w14:textId="77777777" w:rsidR="00A13848" w:rsidRDefault="00ED5869">
      <w:pPr>
        <w:widowControl w:val="0"/>
        <w:spacing w:line="276" w:lineRule="auto"/>
        <w:jc w:val="both"/>
        <w:rPr>
          <w:szCs w:val="24"/>
        </w:rPr>
      </w:pPr>
      <w:r>
        <w:rPr>
          <w:szCs w:val="24"/>
        </w:rPr>
        <w:t>4.1 - Obriga-se o CESSIONÁRIO a r</w:t>
      </w:r>
      <w:r>
        <w:rPr>
          <w:szCs w:val="24"/>
        </w:rPr>
        <w:t>essarcir, integral e mensalmente ao CEDENTE, o pagamento das parcelas de natureza salarial e de todas as demais vantagens pecuniárias, inclusive os encargos sociais e legais respectivos a que faz jus o servidor cedido, incluindo a taxa patronal do institut</w:t>
      </w:r>
      <w:r>
        <w:rPr>
          <w:szCs w:val="24"/>
        </w:rPr>
        <w:t>o de previdência ao qual está vinculado.</w:t>
      </w:r>
    </w:p>
    <w:p w14:paraId="19978C65" w14:textId="77777777" w:rsidR="00A13848" w:rsidRDefault="00A13848">
      <w:pPr>
        <w:widowControl w:val="0"/>
        <w:spacing w:line="276" w:lineRule="auto"/>
        <w:jc w:val="both"/>
        <w:rPr>
          <w:szCs w:val="24"/>
        </w:rPr>
      </w:pPr>
    </w:p>
    <w:p w14:paraId="65F1CF76" w14:textId="77777777" w:rsidR="00A13848" w:rsidRDefault="00ED5869">
      <w:pPr>
        <w:widowControl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4.2 - O CEDENTE informa que o custo mensal – rendimentos e encargos – com o servidor cedido no exercício de seu cargo é, nesta data, de </w:t>
      </w:r>
      <w:r>
        <w:rPr>
          <w:b/>
          <w:szCs w:val="24"/>
        </w:rPr>
        <w:t xml:space="preserve">R$ </w:t>
      </w:r>
      <w:r>
        <w:rPr>
          <w:b/>
          <w:bCs/>
          <w:szCs w:val="24"/>
        </w:rPr>
        <w:t>3.078,43</w:t>
      </w:r>
      <w:r>
        <w:rPr>
          <w:b/>
          <w:szCs w:val="24"/>
        </w:rPr>
        <w:t xml:space="preserve"> (três mil, setenta e oito reais e quarenta e três centavos)</w:t>
      </w:r>
      <w:r>
        <w:rPr>
          <w:szCs w:val="24"/>
        </w:rPr>
        <w:t>, abaix</w:t>
      </w:r>
      <w:r>
        <w:rPr>
          <w:szCs w:val="24"/>
        </w:rPr>
        <w:t>o especificados, podendo sofrer reajustes remuneratórios com base em índices determinados e/ou autorizados pelo CEDENTE ou quaisquer outras alterações decorrentes de lei, tais como concessão de vantagens, promoções e progressões funcionais, que deverão ser</w:t>
      </w:r>
      <w:r>
        <w:rPr>
          <w:szCs w:val="24"/>
        </w:rPr>
        <w:t xml:space="preserve"> informados pelo CEDENTE ao CESSIONÁRIO.</w:t>
      </w:r>
    </w:p>
    <w:p w14:paraId="08B0DABB" w14:textId="77777777" w:rsidR="00A13848" w:rsidRDefault="00A13848">
      <w:pPr>
        <w:widowControl w:val="0"/>
        <w:spacing w:line="276" w:lineRule="auto"/>
        <w:jc w:val="both"/>
        <w:rPr>
          <w:szCs w:val="24"/>
        </w:rPr>
      </w:pPr>
    </w:p>
    <w:p w14:paraId="03C3EAE4" w14:textId="77777777" w:rsidR="00A13848" w:rsidRDefault="00ED5869">
      <w:pPr>
        <w:widowControl w:val="0"/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VERBAS SALARIAIS:</w:t>
      </w:r>
    </w:p>
    <w:p w14:paraId="0E16CDBA" w14:textId="77777777" w:rsidR="00A13848" w:rsidRDefault="00ED5869">
      <w:pPr>
        <w:widowControl w:val="0"/>
        <w:spacing w:line="276" w:lineRule="auto"/>
        <w:rPr>
          <w:szCs w:val="24"/>
        </w:rPr>
      </w:pPr>
      <w:r>
        <w:rPr>
          <w:szCs w:val="24"/>
        </w:rPr>
        <w:t>Salário Base: R$ 1.301,10</w:t>
      </w:r>
      <w:r>
        <w:rPr>
          <w:szCs w:val="24"/>
        </w:rPr>
        <w:br/>
        <w:t>Anuênio: R$ 65,06</w:t>
      </w:r>
    </w:p>
    <w:p w14:paraId="1BDF0215" w14:textId="77777777" w:rsidR="00A13848" w:rsidRDefault="00ED5869">
      <w:pPr>
        <w:widowControl w:val="0"/>
        <w:spacing w:line="276" w:lineRule="auto"/>
        <w:rPr>
          <w:szCs w:val="24"/>
        </w:rPr>
      </w:pPr>
      <w:r>
        <w:rPr>
          <w:szCs w:val="24"/>
        </w:rPr>
        <w:t>Insalubridade: R$ 0,00</w:t>
      </w:r>
      <w:r>
        <w:rPr>
          <w:szCs w:val="24"/>
        </w:rPr>
        <w:br/>
        <w:t>Total Verbas: R$ 1.366,16</w:t>
      </w:r>
    </w:p>
    <w:p w14:paraId="555FAB3B" w14:textId="77777777" w:rsidR="00A13848" w:rsidRDefault="00ED5869">
      <w:pPr>
        <w:widowControl w:val="0"/>
        <w:spacing w:line="276" w:lineRule="auto"/>
        <w:rPr>
          <w:b/>
          <w:bCs/>
          <w:szCs w:val="24"/>
        </w:rPr>
      </w:pPr>
      <w:r>
        <w:rPr>
          <w:b/>
          <w:bCs/>
          <w:szCs w:val="24"/>
        </w:rPr>
        <w:t>ENCARGOS FINANCEIROS:</w:t>
      </w:r>
    </w:p>
    <w:p w14:paraId="5238DAD6" w14:textId="77777777" w:rsidR="00A13848" w:rsidRDefault="00ED5869">
      <w:pPr>
        <w:widowControl w:val="0"/>
        <w:spacing w:line="276" w:lineRule="auto"/>
        <w:rPr>
          <w:szCs w:val="24"/>
        </w:rPr>
      </w:pPr>
      <w:r>
        <w:rPr>
          <w:szCs w:val="24"/>
        </w:rPr>
        <w:t>IPASMA 14,50%: R$ 365,33</w:t>
      </w:r>
      <w:r>
        <w:rPr>
          <w:szCs w:val="24"/>
        </w:rPr>
        <w:br/>
        <w:t>IPASMA SUP. 32%: R$ 806,24</w:t>
      </w:r>
    </w:p>
    <w:p w14:paraId="6A302CDD" w14:textId="77777777" w:rsidR="00A13848" w:rsidRDefault="00ED5869">
      <w:pPr>
        <w:widowControl w:val="0"/>
        <w:spacing w:line="276" w:lineRule="auto"/>
        <w:rPr>
          <w:szCs w:val="24"/>
        </w:rPr>
      </w:pPr>
      <w:r>
        <w:rPr>
          <w:szCs w:val="24"/>
        </w:rPr>
        <w:t>TAXA ADM.: R$ 90,70</w:t>
      </w:r>
      <w:r>
        <w:rPr>
          <w:szCs w:val="24"/>
        </w:rPr>
        <w:br/>
      </w:r>
      <w:r>
        <w:rPr>
          <w:szCs w:val="24"/>
        </w:rPr>
        <w:t>Total Encargos: R$ 1.262,27</w:t>
      </w:r>
    </w:p>
    <w:p w14:paraId="5536146B" w14:textId="77777777" w:rsidR="00A13848" w:rsidRDefault="00ED5869">
      <w:pPr>
        <w:widowControl w:val="0"/>
        <w:spacing w:line="276" w:lineRule="auto"/>
        <w:rPr>
          <w:b/>
          <w:bCs/>
          <w:szCs w:val="24"/>
        </w:rPr>
      </w:pPr>
      <w:r>
        <w:rPr>
          <w:szCs w:val="24"/>
        </w:rPr>
        <w:t>Auxílio Alimentação R$ 450,00</w:t>
      </w:r>
      <w:r>
        <w:rPr>
          <w:szCs w:val="24"/>
        </w:rPr>
        <w:br/>
      </w:r>
      <w:r>
        <w:rPr>
          <w:b/>
          <w:bCs/>
          <w:szCs w:val="24"/>
        </w:rPr>
        <w:t>TOTAL GERAL R$ 3.078,43</w:t>
      </w:r>
    </w:p>
    <w:p w14:paraId="16BA298F" w14:textId="77777777" w:rsidR="00A13848" w:rsidRDefault="00A13848">
      <w:pPr>
        <w:widowControl w:val="0"/>
        <w:spacing w:line="276" w:lineRule="auto"/>
        <w:jc w:val="both"/>
        <w:rPr>
          <w:szCs w:val="24"/>
        </w:rPr>
      </w:pPr>
    </w:p>
    <w:p w14:paraId="7ED920DF" w14:textId="77777777" w:rsidR="00A13848" w:rsidRDefault="00ED5869">
      <w:pPr>
        <w:widowControl w:val="0"/>
        <w:spacing w:line="276" w:lineRule="auto"/>
        <w:jc w:val="both"/>
        <w:rPr>
          <w:szCs w:val="24"/>
        </w:rPr>
      </w:pPr>
      <w:r>
        <w:rPr>
          <w:szCs w:val="24"/>
        </w:rPr>
        <w:t xml:space="preserve">4.3 - O CEDENTE obriga-se a informar, mensalmente, ao CESSIONÁRIO, até o décimo dia útil de cada mês, </w:t>
      </w:r>
      <w:r>
        <w:rPr>
          <w:b/>
          <w:szCs w:val="24"/>
        </w:rPr>
        <w:t xml:space="preserve">o valor total que deverá ser ressarcido mediante apresentação de </w:t>
      </w:r>
      <w:r>
        <w:rPr>
          <w:b/>
          <w:szCs w:val="24"/>
        </w:rPr>
        <w:lastRenderedPageBreak/>
        <w:t>fatura</w:t>
      </w:r>
      <w:r>
        <w:rPr>
          <w:b/>
          <w:szCs w:val="24"/>
        </w:rPr>
        <w:t>s contendo as rubricas devidamente especificadas.</w:t>
      </w:r>
    </w:p>
    <w:p w14:paraId="6ACF079D" w14:textId="77777777" w:rsidR="00A13848" w:rsidRDefault="00A13848">
      <w:pPr>
        <w:widowControl w:val="0"/>
        <w:spacing w:line="276" w:lineRule="auto"/>
        <w:jc w:val="both"/>
        <w:rPr>
          <w:szCs w:val="24"/>
        </w:rPr>
      </w:pPr>
    </w:p>
    <w:p w14:paraId="236414F0" w14:textId="1C0F4BE5" w:rsidR="00A13848" w:rsidRDefault="00ED5869">
      <w:pPr>
        <w:widowControl w:val="0"/>
        <w:spacing w:line="276" w:lineRule="auto"/>
        <w:jc w:val="both"/>
        <w:rPr>
          <w:szCs w:val="24"/>
        </w:rPr>
      </w:pPr>
      <w:r>
        <w:rPr>
          <w:szCs w:val="24"/>
        </w:rPr>
        <w:t>4.4 - O CESSIONÁRIO obriga-se a ressarcir as despesas ao CEDENTE, em até 30 (trinta) dias após o recebimento da solicitação de ressarcimento, através de depósito ao Banco Banestes,</w:t>
      </w:r>
      <w:r>
        <w:rPr>
          <w:color w:val="FF0000"/>
          <w:szCs w:val="24"/>
        </w:rPr>
        <w:t xml:space="preserve"> </w:t>
      </w:r>
      <w:r>
        <w:rPr>
          <w:szCs w:val="24"/>
        </w:rPr>
        <w:t xml:space="preserve">Agência 111, </w:t>
      </w:r>
      <w:r w:rsidR="009A6F6D">
        <w:rPr>
          <w:szCs w:val="24"/>
        </w:rPr>
        <w:t>conta corrente</w:t>
      </w:r>
      <w:r>
        <w:rPr>
          <w:szCs w:val="24"/>
        </w:rPr>
        <w:t xml:space="preserve"> n.º 2.160.018, em favor do Município de Aracruz, ficando, ainda, o CESSIONÁRIO obrigado a informar ao CEDENTE a data de realização do respectivo depósito, através de correspondência oficial.</w:t>
      </w:r>
    </w:p>
    <w:p w14:paraId="5183FB40" w14:textId="77777777" w:rsidR="00A13848" w:rsidRDefault="00A13848">
      <w:pPr>
        <w:widowControl w:val="0"/>
        <w:jc w:val="both"/>
        <w:rPr>
          <w:szCs w:val="24"/>
        </w:rPr>
      </w:pPr>
    </w:p>
    <w:p w14:paraId="4F4AABB4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 xml:space="preserve">4.5 - O </w:t>
      </w:r>
      <w:r>
        <w:rPr>
          <w:b/>
          <w:szCs w:val="24"/>
        </w:rPr>
        <w:t>NÃO</w:t>
      </w:r>
      <w:r>
        <w:rPr>
          <w:szCs w:val="24"/>
        </w:rPr>
        <w:t xml:space="preserve"> cumprimento dos prazos poderá ensejar o cancelam</w:t>
      </w:r>
      <w:r>
        <w:rPr>
          <w:szCs w:val="24"/>
        </w:rPr>
        <w:t>ento imediato da cessão.</w:t>
      </w:r>
    </w:p>
    <w:p w14:paraId="7EA9EFFA" w14:textId="77777777" w:rsidR="00A13848" w:rsidRDefault="00A13848">
      <w:pPr>
        <w:widowControl w:val="0"/>
        <w:jc w:val="both"/>
        <w:rPr>
          <w:szCs w:val="24"/>
        </w:rPr>
      </w:pPr>
    </w:p>
    <w:p w14:paraId="586856FC" w14:textId="77777777" w:rsidR="00A13848" w:rsidRDefault="00ED5869">
      <w:pPr>
        <w:widowControl w:val="0"/>
        <w:jc w:val="both"/>
        <w:rPr>
          <w:szCs w:val="24"/>
        </w:rPr>
      </w:pPr>
      <w:r>
        <w:rPr>
          <w:b/>
          <w:szCs w:val="24"/>
        </w:rPr>
        <w:t>CLÁUSULA QUINTA – DA RESCISÃO</w:t>
      </w:r>
    </w:p>
    <w:p w14:paraId="35DDE37B" w14:textId="77777777" w:rsidR="00A13848" w:rsidRDefault="00A13848">
      <w:pPr>
        <w:widowControl w:val="0"/>
        <w:jc w:val="both"/>
        <w:rPr>
          <w:b/>
          <w:szCs w:val="24"/>
        </w:rPr>
      </w:pPr>
    </w:p>
    <w:p w14:paraId="1C6CA8AC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5.1 - O presente Convênio poderá ser denunciado por quaisquer dos convenentes, mediante aviso por escrito, com antecedência de no mínimo 30 (trinta) dias ou por acordo, ou, ainda, na hipótese de inad</w:t>
      </w:r>
      <w:r>
        <w:rPr>
          <w:szCs w:val="24"/>
        </w:rPr>
        <w:t>implemento por quaisquer dos convenentes das obrigações assumidas em razão deste ajuste, decorrentes de Lei.</w:t>
      </w:r>
    </w:p>
    <w:p w14:paraId="0F8F90CD" w14:textId="77777777" w:rsidR="00A13848" w:rsidRDefault="00A13848">
      <w:pPr>
        <w:widowControl w:val="0"/>
        <w:jc w:val="both"/>
        <w:rPr>
          <w:szCs w:val="24"/>
        </w:rPr>
      </w:pPr>
    </w:p>
    <w:p w14:paraId="11B2B270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 xml:space="preserve">5.2 - Em qualquer caso de encerramento deste Convênio ficarão assegurados todos os direitos e obrigações dos partícipes convenentes, até a </w:t>
      </w:r>
      <w:r>
        <w:rPr>
          <w:szCs w:val="24"/>
        </w:rPr>
        <w:t>data do retorno do servidor cedido.</w:t>
      </w:r>
    </w:p>
    <w:p w14:paraId="0F741B60" w14:textId="77777777" w:rsidR="00A13848" w:rsidRDefault="00A13848">
      <w:pPr>
        <w:widowControl w:val="0"/>
        <w:jc w:val="both"/>
        <w:rPr>
          <w:szCs w:val="24"/>
        </w:rPr>
      </w:pPr>
    </w:p>
    <w:p w14:paraId="744AFD8D" w14:textId="77777777" w:rsidR="00A13848" w:rsidRDefault="00ED5869">
      <w:pPr>
        <w:widowControl w:val="0"/>
        <w:jc w:val="both"/>
        <w:rPr>
          <w:szCs w:val="24"/>
        </w:rPr>
      </w:pPr>
      <w:r>
        <w:rPr>
          <w:b/>
          <w:szCs w:val="24"/>
        </w:rPr>
        <w:t>CLÁUSULA SEXTA – DAS DISPOSIÇÕES GERAIS</w:t>
      </w:r>
    </w:p>
    <w:p w14:paraId="7BEDF597" w14:textId="77777777" w:rsidR="00A13848" w:rsidRDefault="00A13848">
      <w:pPr>
        <w:widowControl w:val="0"/>
        <w:jc w:val="both"/>
        <w:rPr>
          <w:b/>
          <w:szCs w:val="24"/>
        </w:rPr>
      </w:pPr>
    </w:p>
    <w:p w14:paraId="72F3AD4B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6.1 - O servidor cedido poderá ser nomeado ou designado para cargo em comissão ou função de confiança, sem ônus para o cedente, ficando sob a responsabilidade do cessionário o pa</w:t>
      </w:r>
      <w:r>
        <w:rPr>
          <w:szCs w:val="24"/>
        </w:rPr>
        <w:t>gamento da respectiva remuneração e encargos provenientes.</w:t>
      </w:r>
    </w:p>
    <w:p w14:paraId="094C17CD" w14:textId="77777777" w:rsidR="00A13848" w:rsidRDefault="00A13848">
      <w:pPr>
        <w:widowControl w:val="0"/>
        <w:jc w:val="both"/>
        <w:rPr>
          <w:szCs w:val="24"/>
        </w:rPr>
      </w:pPr>
    </w:p>
    <w:p w14:paraId="4739C932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6.2 - A carga horária do servidor cedido deverá ser compatível com a estabelecida pelo cedente, exceto para o exercício em cargo comissionado ou função de confiança, remunerado pelo cessionário.</w:t>
      </w:r>
    </w:p>
    <w:p w14:paraId="0EE86613" w14:textId="77777777" w:rsidR="00A13848" w:rsidRDefault="00A13848">
      <w:pPr>
        <w:widowControl w:val="0"/>
        <w:jc w:val="both"/>
        <w:rPr>
          <w:szCs w:val="24"/>
        </w:rPr>
      </w:pPr>
    </w:p>
    <w:p w14:paraId="04A09164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6.3 - O desligamento do servidor cedido do quadro de pessoal do cedente será comunicado imediatamente ao cessionário.</w:t>
      </w:r>
    </w:p>
    <w:p w14:paraId="1EF65C6E" w14:textId="77777777" w:rsidR="00A13848" w:rsidRDefault="00A13848">
      <w:pPr>
        <w:widowControl w:val="0"/>
        <w:jc w:val="both"/>
        <w:rPr>
          <w:szCs w:val="24"/>
        </w:rPr>
      </w:pPr>
    </w:p>
    <w:p w14:paraId="6C44BD27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6.4 - As irregularidades e faltas disciplinares porventura cometidas pelo servidor cedido serão apuradas pelo cessionário mediante abertu</w:t>
      </w:r>
      <w:r>
        <w:rPr>
          <w:szCs w:val="24"/>
        </w:rPr>
        <w:t>ra de processo de sindicância, garantindo o contraditório e a ampla defesa, e sua conclusão será remetida ao cedente para conhecimento e tomada de decisão, inclusive abertura de processo administrativo disciplinar, conforme o caso, com a necessária comunic</w:t>
      </w:r>
      <w:r>
        <w:rPr>
          <w:szCs w:val="24"/>
        </w:rPr>
        <w:t>ação ao cessionário.</w:t>
      </w:r>
    </w:p>
    <w:p w14:paraId="24196F2A" w14:textId="77777777" w:rsidR="00A13848" w:rsidRDefault="00A13848">
      <w:pPr>
        <w:widowControl w:val="0"/>
        <w:jc w:val="both"/>
        <w:rPr>
          <w:szCs w:val="24"/>
        </w:rPr>
      </w:pPr>
    </w:p>
    <w:p w14:paraId="7ECA6A9B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6.5 - O cessionário, por esta e na melhor forma de direito, assume a inteira responsabilidade por quaisquer danos, porventura causados a terceiros pelo servidor cedido, durante o horário de trabalho e vigência da cessão, na forma da L</w:t>
      </w:r>
      <w:r>
        <w:rPr>
          <w:szCs w:val="24"/>
        </w:rPr>
        <w:t>ei.</w:t>
      </w:r>
    </w:p>
    <w:p w14:paraId="3668C009" w14:textId="77777777" w:rsidR="00A13848" w:rsidRDefault="00A13848">
      <w:pPr>
        <w:widowControl w:val="0"/>
        <w:jc w:val="both"/>
        <w:rPr>
          <w:szCs w:val="24"/>
        </w:rPr>
      </w:pPr>
    </w:p>
    <w:p w14:paraId="6B9BD955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6.6 - Fica vedada a alteração das condições de trabalho que possa caracterizar desvio de função ou de carga horária de trabalho do servidor cedido, durante o período em que o mesmo estiver à disposição, ficando o cedente isento de qualquer ônus.</w:t>
      </w:r>
    </w:p>
    <w:p w14:paraId="54ED7755" w14:textId="77777777" w:rsidR="00A13848" w:rsidRDefault="00A13848">
      <w:pPr>
        <w:widowControl w:val="0"/>
        <w:jc w:val="both"/>
        <w:rPr>
          <w:szCs w:val="24"/>
        </w:rPr>
      </w:pPr>
    </w:p>
    <w:p w14:paraId="3507CF9F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 xml:space="preserve">6.7 </w:t>
      </w:r>
      <w:r>
        <w:rPr>
          <w:szCs w:val="24"/>
        </w:rPr>
        <w:t>– Aos convenentes fica assegurado o livre acesso, a qualquer tempo, às repartições e a todos os atos e fatos relacionados direta e indiretamente com o ajuste pactuado, quando no desempenho das atividades de acompanhamento e controle.</w:t>
      </w:r>
    </w:p>
    <w:p w14:paraId="07B4D524" w14:textId="77777777" w:rsidR="00A13848" w:rsidRDefault="00A13848">
      <w:pPr>
        <w:widowControl w:val="0"/>
        <w:jc w:val="both"/>
        <w:rPr>
          <w:szCs w:val="24"/>
        </w:rPr>
      </w:pPr>
    </w:p>
    <w:p w14:paraId="3F617968" w14:textId="77777777" w:rsidR="00A13848" w:rsidRDefault="00ED5869">
      <w:pPr>
        <w:widowControl w:val="0"/>
        <w:jc w:val="both"/>
        <w:rPr>
          <w:szCs w:val="24"/>
        </w:rPr>
      </w:pPr>
      <w:r>
        <w:rPr>
          <w:b/>
          <w:szCs w:val="24"/>
        </w:rPr>
        <w:t xml:space="preserve">CLÁUSULA SÉTIMA – DO </w:t>
      </w:r>
      <w:r>
        <w:rPr>
          <w:b/>
          <w:szCs w:val="24"/>
        </w:rPr>
        <w:t>FORO</w:t>
      </w:r>
    </w:p>
    <w:p w14:paraId="197B4E85" w14:textId="77777777" w:rsidR="00A13848" w:rsidRDefault="00A13848">
      <w:pPr>
        <w:widowControl w:val="0"/>
        <w:jc w:val="both"/>
        <w:rPr>
          <w:b/>
          <w:szCs w:val="24"/>
        </w:rPr>
      </w:pPr>
    </w:p>
    <w:p w14:paraId="2A7FFF96" w14:textId="77777777" w:rsidR="00A13848" w:rsidRDefault="00ED5869">
      <w:pPr>
        <w:pStyle w:val="Recuodecorpodetexto"/>
        <w:ind w:left="0"/>
        <w:rPr>
          <w:szCs w:val="24"/>
        </w:rPr>
      </w:pPr>
      <w:r>
        <w:rPr>
          <w:b w:val="0"/>
          <w:szCs w:val="24"/>
        </w:rPr>
        <w:t>7.1 - Fica eleito o Foro da Comarca de Aracruz-ES, com expressa renúncia de qualquer outro, por mais especial ou privilegiado que seja ou venha ser, para os procedimentos judiciais oriundos desta avença, que amigavelmente os participantes não puderam</w:t>
      </w:r>
      <w:r>
        <w:rPr>
          <w:b w:val="0"/>
          <w:szCs w:val="24"/>
        </w:rPr>
        <w:t xml:space="preserve"> resolver.</w:t>
      </w:r>
    </w:p>
    <w:p w14:paraId="0B7CEAF9" w14:textId="77777777" w:rsidR="00A13848" w:rsidRDefault="00A13848">
      <w:pPr>
        <w:widowControl w:val="0"/>
        <w:jc w:val="both"/>
        <w:rPr>
          <w:b/>
          <w:szCs w:val="24"/>
        </w:rPr>
      </w:pPr>
    </w:p>
    <w:p w14:paraId="524EFEE4" w14:textId="77777777" w:rsidR="00A13848" w:rsidRDefault="00ED5869">
      <w:pPr>
        <w:widowControl w:val="0"/>
        <w:jc w:val="both"/>
        <w:rPr>
          <w:szCs w:val="24"/>
        </w:rPr>
      </w:pPr>
      <w:r>
        <w:rPr>
          <w:szCs w:val="24"/>
        </w:rPr>
        <w:t>E, por estarem de acordo, lavrou-se o presente termo em 02 (duas) vias de igual teor e forma, as quais foram lidas e assinadas pelas partes, na presença das testemunhas abaixo.</w:t>
      </w:r>
    </w:p>
    <w:p w14:paraId="3B953FA7" w14:textId="77777777" w:rsidR="00A13848" w:rsidRDefault="00A13848">
      <w:pPr>
        <w:widowControl w:val="0"/>
        <w:jc w:val="both"/>
        <w:rPr>
          <w:szCs w:val="24"/>
        </w:rPr>
      </w:pPr>
    </w:p>
    <w:p w14:paraId="67B7C6CD" w14:textId="77777777" w:rsidR="00A13848" w:rsidRDefault="00ED5869">
      <w:pPr>
        <w:widowControl w:val="0"/>
        <w:jc w:val="right"/>
        <w:rPr>
          <w:szCs w:val="24"/>
        </w:rPr>
      </w:pPr>
      <w:r>
        <w:rPr>
          <w:szCs w:val="24"/>
        </w:rPr>
        <w:t>Aracruz-ES, 13 de junho de 2022.</w:t>
      </w:r>
    </w:p>
    <w:p w14:paraId="10529E36" w14:textId="77777777" w:rsidR="00A13848" w:rsidRDefault="00A13848">
      <w:pPr>
        <w:widowControl w:val="0"/>
        <w:jc w:val="both"/>
        <w:rPr>
          <w:szCs w:val="24"/>
        </w:rPr>
      </w:pPr>
    </w:p>
    <w:p w14:paraId="4C8C3B22" w14:textId="77777777" w:rsidR="00A13848" w:rsidRDefault="00A13848">
      <w:pPr>
        <w:widowControl w:val="0"/>
        <w:jc w:val="both"/>
        <w:rPr>
          <w:szCs w:val="24"/>
        </w:rPr>
      </w:pPr>
    </w:p>
    <w:p w14:paraId="3AC56610" w14:textId="77777777" w:rsidR="00A13848" w:rsidRDefault="00A13848">
      <w:pPr>
        <w:widowControl w:val="0"/>
        <w:jc w:val="both"/>
        <w:rPr>
          <w:szCs w:val="24"/>
        </w:rPr>
      </w:pPr>
    </w:p>
    <w:p w14:paraId="41E93E11" w14:textId="77777777" w:rsidR="00A13848" w:rsidRDefault="00ED5869">
      <w:pPr>
        <w:widowControl w:val="0"/>
        <w:jc w:val="center"/>
        <w:rPr>
          <w:szCs w:val="24"/>
        </w:rPr>
      </w:pPr>
      <w:r>
        <w:rPr>
          <w:szCs w:val="24"/>
        </w:rPr>
        <w:t>LUIZ CARLOS COUTINHO</w:t>
      </w:r>
    </w:p>
    <w:p w14:paraId="2BFEEC3E" w14:textId="06A2F70D" w:rsidR="00A13848" w:rsidRDefault="00ED5869">
      <w:pPr>
        <w:widowControl w:val="0"/>
        <w:jc w:val="center"/>
        <w:rPr>
          <w:szCs w:val="24"/>
        </w:rPr>
      </w:pPr>
      <w:r>
        <w:rPr>
          <w:szCs w:val="24"/>
        </w:rPr>
        <w:t>Prefeito Municipal de Aracruz</w:t>
      </w:r>
    </w:p>
    <w:p w14:paraId="6DB9C6BC" w14:textId="11F7520C" w:rsidR="00A13848" w:rsidRDefault="00ED5869">
      <w:pPr>
        <w:widowControl w:val="0"/>
        <w:jc w:val="center"/>
        <w:rPr>
          <w:szCs w:val="24"/>
        </w:rPr>
      </w:pPr>
      <w:r>
        <w:rPr>
          <w:szCs w:val="24"/>
        </w:rPr>
        <w:t>CEDENT</w:t>
      </w:r>
      <w:r w:rsidR="00E876B5">
        <w:rPr>
          <w:szCs w:val="24"/>
        </w:rPr>
        <w:t>E</w:t>
      </w:r>
    </w:p>
    <w:p w14:paraId="1BBBE84A" w14:textId="77777777" w:rsidR="00A13848" w:rsidRDefault="00A13848">
      <w:pPr>
        <w:widowControl w:val="0"/>
        <w:jc w:val="center"/>
        <w:rPr>
          <w:szCs w:val="24"/>
        </w:rPr>
      </w:pPr>
    </w:p>
    <w:p w14:paraId="12CB2013" w14:textId="77777777" w:rsidR="00A13848" w:rsidRDefault="00A13848">
      <w:pPr>
        <w:widowControl w:val="0"/>
        <w:jc w:val="center"/>
        <w:rPr>
          <w:szCs w:val="24"/>
        </w:rPr>
      </w:pPr>
    </w:p>
    <w:p w14:paraId="159A2D6E" w14:textId="77777777" w:rsidR="00A13848" w:rsidRDefault="00ED5869">
      <w:pPr>
        <w:widowControl w:val="0"/>
        <w:jc w:val="center"/>
      </w:pPr>
      <w:r>
        <w:rPr>
          <w:szCs w:val="24"/>
        </w:rPr>
        <w:t xml:space="preserve">GILMAR DE SOUZA BORGES </w:t>
      </w:r>
    </w:p>
    <w:p w14:paraId="56CD9519" w14:textId="11DF410C" w:rsidR="00A13848" w:rsidRDefault="00ED5869">
      <w:pPr>
        <w:widowControl w:val="0"/>
        <w:jc w:val="center"/>
        <w:rPr>
          <w:bCs/>
          <w:szCs w:val="24"/>
        </w:rPr>
      </w:pPr>
      <w:r>
        <w:rPr>
          <w:bCs/>
          <w:szCs w:val="24"/>
        </w:rPr>
        <w:t>Prefeito Municipal de</w:t>
      </w:r>
      <w:r>
        <w:rPr>
          <w:bCs/>
          <w:szCs w:val="24"/>
        </w:rPr>
        <w:t xml:space="preserve"> Fundão</w:t>
      </w:r>
    </w:p>
    <w:p w14:paraId="27DDCC81" w14:textId="77777777" w:rsidR="00A13848" w:rsidRDefault="00ED5869">
      <w:pPr>
        <w:widowControl w:val="0"/>
        <w:jc w:val="center"/>
        <w:rPr>
          <w:szCs w:val="24"/>
        </w:rPr>
      </w:pPr>
      <w:r>
        <w:rPr>
          <w:szCs w:val="24"/>
        </w:rPr>
        <w:t>CESSIONÁRIO</w:t>
      </w:r>
    </w:p>
    <w:p w14:paraId="02FB4456" w14:textId="77777777" w:rsidR="00A13848" w:rsidRDefault="00A13848">
      <w:pPr>
        <w:widowControl w:val="0"/>
        <w:jc w:val="center"/>
        <w:rPr>
          <w:szCs w:val="24"/>
        </w:rPr>
      </w:pPr>
    </w:p>
    <w:p w14:paraId="7C79580D" w14:textId="77777777" w:rsidR="00A13848" w:rsidRDefault="00A13848">
      <w:pPr>
        <w:widowControl w:val="0"/>
        <w:jc w:val="center"/>
        <w:rPr>
          <w:szCs w:val="24"/>
        </w:rPr>
      </w:pPr>
    </w:p>
    <w:p w14:paraId="5633EF7F" w14:textId="77777777" w:rsidR="00A13848" w:rsidRDefault="00A13848">
      <w:pPr>
        <w:widowControl w:val="0"/>
        <w:jc w:val="both"/>
        <w:rPr>
          <w:szCs w:val="24"/>
        </w:rPr>
      </w:pPr>
    </w:p>
    <w:p w14:paraId="2177C6F6" w14:textId="77777777" w:rsidR="00A13848" w:rsidRDefault="00A13848">
      <w:pPr>
        <w:widowControl w:val="0"/>
        <w:jc w:val="both"/>
        <w:rPr>
          <w:szCs w:val="24"/>
          <w:u w:val="single"/>
        </w:rPr>
      </w:pPr>
    </w:p>
    <w:sectPr w:rsidR="00A13848">
      <w:headerReference w:type="default" r:id="rId7"/>
      <w:footerReference w:type="default" r:id="rId8"/>
      <w:pgSz w:w="11906" w:h="16838"/>
      <w:pgMar w:top="2381" w:right="1134" w:bottom="1248" w:left="1701" w:header="567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D213" w14:textId="77777777" w:rsidR="00000000" w:rsidRDefault="00ED5869">
      <w:r>
        <w:separator/>
      </w:r>
    </w:p>
  </w:endnote>
  <w:endnote w:type="continuationSeparator" w:id="0">
    <w:p w14:paraId="5D93B359" w14:textId="77777777" w:rsidR="00000000" w:rsidRDefault="00ED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E5C8" w14:textId="1A087036" w:rsidR="00A13848" w:rsidRDefault="00A1384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8D75" w14:textId="77777777" w:rsidR="00000000" w:rsidRDefault="00ED5869">
      <w:r>
        <w:separator/>
      </w:r>
    </w:p>
  </w:footnote>
  <w:footnote w:type="continuationSeparator" w:id="0">
    <w:p w14:paraId="7C804525" w14:textId="77777777" w:rsidR="00000000" w:rsidRDefault="00ED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AC36" w14:textId="50C57972" w:rsidR="00A13848" w:rsidRDefault="00A138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848"/>
    <w:rsid w:val="009A6F6D"/>
    <w:rsid w:val="00A13848"/>
    <w:rsid w:val="00E876B5"/>
    <w:rsid w:val="00ED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B798B"/>
  <w15:docId w15:val="{FA1875E3-5B3C-4A1D-9E7E-000A828E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02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18702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18702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52392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65239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18702E"/>
    <w:pPr>
      <w:jc w:val="both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link w:val="RecuodecorpodetextoChar"/>
    <w:unhideWhenUsed/>
    <w:rsid w:val="0018702E"/>
    <w:pPr>
      <w:ind w:left="3969"/>
      <w:jc w:val="both"/>
    </w:pPr>
    <w:rPr>
      <w:b/>
    </w:rPr>
  </w:style>
  <w:style w:type="paragraph" w:customStyle="1" w:styleId="western">
    <w:name w:val="western"/>
    <w:basedOn w:val="Normal"/>
    <w:qFormat/>
    <w:rsid w:val="0018702E"/>
    <w:pPr>
      <w:suppressAutoHyphens w:val="0"/>
      <w:spacing w:beforeAutospacing="1" w:after="119" w:line="278" w:lineRule="atLeast"/>
    </w:pPr>
    <w:rPr>
      <w:rFonts w:ascii="Arial" w:hAnsi="Arial" w:cs="Arial"/>
      <w:color w:val="000000"/>
      <w:szCs w:val="24"/>
      <w:lang w:eastAsia="pt-BR"/>
    </w:rPr>
  </w:style>
  <w:style w:type="paragraph" w:styleId="Reviso">
    <w:name w:val="Revision"/>
    <w:uiPriority w:val="99"/>
    <w:semiHidden/>
    <w:qFormat/>
    <w:rsid w:val="00E943C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5239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52392"/>
    <w:pPr>
      <w:tabs>
        <w:tab w:val="center" w:pos="4252"/>
        <w:tab w:val="right" w:pos="8504"/>
      </w:tabs>
    </w:pPr>
  </w:style>
  <w:style w:type="paragraph" w:customStyle="1" w:styleId="Tabelanormal1">
    <w:name w:val="Tabela normal1"/>
    <w:qFormat/>
    <w:rPr>
      <w:rFonts w:ascii="Times New Roman" w:eastAsia="Cambria Math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98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6E50-9693-4A98-AF4E-30D77FEB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1209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SEGOV PMA</dc:creator>
  <dc:description/>
  <cp:lastModifiedBy>SEGOV PMA</cp:lastModifiedBy>
  <cp:revision>14</cp:revision>
  <cp:lastPrinted>2022-06-13T16:32:00Z</cp:lastPrinted>
  <dcterms:created xsi:type="dcterms:W3CDTF">2022-05-20T13:28:00Z</dcterms:created>
  <dcterms:modified xsi:type="dcterms:W3CDTF">2022-06-13T16:33:00Z</dcterms:modified>
  <dc:language>pt-BR</dc:language>
</cp:coreProperties>
</file>